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ascii="微软雅黑" w:hAnsi="微软雅黑" w:eastAsia="微软雅黑"/>
          <w:b/>
          <w:bCs/>
          <w:sz w:val="28"/>
          <w:szCs w:val="28"/>
          <w:highlight w:val="none"/>
        </w:rPr>
      </w:pPr>
    </w:p>
    <w:p>
      <w:pPr>
        <w:jc w:val="center"/>
        <w:rPr>
          <w:b/>
          <w:sz w:val="32"/>
          <w:szCs w:val="36"/>
          <w:highlight w:val="none"/>
        </w:rPr>
      </w:pPr>
      <w:r>
        <w:rPr>
          <w:rFonts w:hint="eastAsia"/>
          <w:b/>
          <w:sz w:val="32"/>
          <w:szCs w:val="36"/>
          <w:highlight w:val="none"/>
        </w:rPr>
        <w:t>微电子学院</w:t>
      </w:r>
    </w:p>
    <w:p>
      <w:pPr>
        <w:jc w:val="center"/>
        <w:rPr>
          <w:rFonts w:hint="eastAsia" w:ascii="宋体" w:hAnsi="宋体"/>
          <w:b/>
          <w:sz w:val="32"/>
          <w:szCs w:val="36"/>
          <w:highlight w:val="none"/>
        </w:rPr>
      </w:pPr>
      <w:r>
        <w:rPr>
          <w:rFonts w:hint="eastAsia"/>
          <w:b/>
          <w:sz w:val="32"/>
          <w:szCs w:val="36"/>
          <w:highlight w:val="none"/>
        </w:rPr>
        <w:t>School of Microelectronics</w:t>
      </w:r>
    </w:p>
    <w:p>
      <w:pPr>
        <w:ind w:firstLine="424" w:firstLineChars="201"/>
        <w:rPr>
          <w:rFonts w:hint="eastAsia" w:ascii="宋体" w:hAnsi="宋体"/>
          <w:b/>
          <w:highlight w:val="none"/>
        </w:rPr>
      </w:pPr>
    </w:p>
    <w:p>
      <w:pPr>
        <w:ind w:firstLine="424" w:firstLineChars="201"/>
        <w:rPr>
          <w:rFonts w:hint="eastAsia" w:ascii="宋体" w:hAnsi="宋体"/>
          <w:b/>
          <w:highlight w:val="none"/>
        </w:rPr>
      </w:pPr>
      <w:r>
        <w:rPr>
          <w:rFonts w:hint="eastAsia" w:ascii="宋体" w:hAnsi="宋体"/>
          <w:b/>
          <w:highlight w:val="none"/>
        </w:rPr>
        <w:t>学院网址：</w:t>
      </w:r>
      <w:r>
        <w:rPr>
          <w:highlight w:val="none"/>
        </w:rPr>
        <w:fldChar w:fldCharType="begin"/>
      </w:r>
      <w:r>
        <w:rPr>
          <w:highlight w:val="none"/>
        </w:rPr>
        <w:instrText xml:space="preserve"> HYPERLINK "http://www2.scut.edu.cn/microelectronics/" </w:instrText>
      </w:r>
      <w:r>
        <w:rPr>
          <w:highlight w:val="none"/>
        </w:rPr>
        <w:fldChar w:fldCharType="separate"/>
      </w:r>
      <w:r>
        <w:rPr>
          <w:rFonts w:hint="eastAsia" w:ascii="宋体" w:hAnsi="宋体"/>
          <w:b/>
          <w:highlight w:val="none"/>
          <w:u w:val="single"/>
        </w:rPr>
        <w:t>http://www2.scut.edu.cn/microelectronics/</w:t>
      </w:r>
      <w:r>
        <w:rPr>
          <w:rFonts w:hint="eastAsia" w:ascii="宋体" w:hAnsi="宋体"/>
          <w:b/>
          <w:highlight w:val="none"/>
          <w:u w:val="single"/>
        </w:rPr>
        <w:fldChar w:fldCharType="end"/>
      </w:r>
      <w:r>
        <w:rPr>
          <w:rFonts w:hint="eastAsia" w:ascii="宋体" w:hAnsi="宋体"/>
          <w:b/>
          <w:highlight w:val="none"/>
          <w:u w:val="single"/>
        </w:rPr>
        <w:t xml:space="preserve"> </w:t>
      </w:r>
      <w:r>
        <w:rPr>
          <w:rFonts w:hint="eastAsia" w:ascii="宋体" w:hAnsi="宋体"/>
          <w:b/>
          <w:highlight w:val="none"/>
        </w:rPr>
        <w:t xml:space="preserve">        咨询电话：020-81181622</w:t>
      </w:r>
    </w:p>
    <w:p>
      <w:pPr>
        <w:ind w:firstLine="424" w:firstLineChars="201"/>
        <w:rPr>
          <w:rFonts w:hint="eastAsia" w:ascii="宋体" w:hAnsi="宋体"/>
          <w:b/>
          <w:highlight w:val="none"/>
        </w:rPr>
      </w:pPr>
    </w:p>
    <w:p>
      <w:pPr>
        <w:ind w:firstLine="422" w:firstLineChars="201"/>
        <w:rPr>
          <w:rFonts w:hint="eastAsia" w:ascii="宋体" w:hAnsi="宋体"/>
          <w:b/>
          <w:highlight w:val="none"/>
        </w:rPr>
      </w:pPr>
      <w:r>
        <w:rPr>
          <w:highlight w:val="none"/>
        </w:rPr>
        <w:drawing>
          <wp:inline distT="0" distB="0" distL="0" distR="0">
            <wp:extent cx="2237740" cy="223774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4"/>
                    <a:stretch>
                      <a:fillRect/>
                    </a:stretch>
                  </pic:blipFill>
                  <pic:spPr>
                    <a:xfrm>
                      <a:off x="0" y="0"/>
                      <a:ext cx="2238095" cy="2238095"/>
                    </a:xfrm>
                    <a:prstGeom prst="rect">
                      <a:avLst/>
                    </a:prstGeom>
                  </pic:spPr>
                </pic:pic>
              </a:graphicData>
            </a:graphic>
          </wp:inline>
        </w:drawing>
      </w:r>
      <w:r>
        <w:rPr>
          <w:rFonts w:hint="eastAsia" w:ascii="宋体" w:hAnsi="宋体"/>
          <w:b/>
          <w:highlight w:val="none"/>
        </w:rPr>
        <w:t>（这是咨询群二维码）</w:t>
      </w:r>
    </w:p>
    <w:p>
      <w:pPr>
        <w:ind w:firstLine="424" w:firstLineChars="201"/>
        <w:rPr>
          <w:rFonts w:hint="eastAsia" w:ascii="宋体" w:hAnsi="宋体"/>
          <w:b/>
          <w:highlight w:val="none"/>
        </w:rPr>
      </w:pPr>
    </w:p>
    <w:p>
      <w:pPr>
        <w:ind w:firstLine="424" w:firstLineChars="201"/>
        <w:rPr>
          <w:rFonts w:hint="eastAsia" w:ascii="宋体" w:hAnsi="宋体"/>
          <w:b/>
          <w:highlight w:val="none"/>
        </w:rPr>
      </w:pPr>
      <w:r>
        <w:rPr>
          <w:rFonts w:ascii="宋体" w:hAnsi="宋体"/>
          <w:b/>
          <w:highlight w:val="none"/>
        </w:rPr>
        <w:drawing>
          <wp:inline distT="0" distB="0" distL="0" distR="0">
            <wp:extent cx="6479540" cy="317500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6479540" cy="3175000"/>
                    </a:xfrm>
                    <a:prstGeom prst="rect">
                      <a:avLst/>
                    </a:prstGeom>
                    <a:noFill/>
                    <a:ln>
                      <a:noFill/>
                    </a:ln>
                  </pic:spPr>
                </pic:pic>
              </a:graphicData>
            </a:graphic>
          </wp:inline>
        </w:drawing>
      </w:r>
      <w:r>
        <w:rPr>
          <w:rFonts w:hint="eastAsia" w:ascii="宋体" w:hAnsi="宋体"/>
          <w:b/>
          <w:highlight w:val="none"/>
        </w:rPr>
        <w:t>（头图放这个）</w:t>
      </w:r>
    </w:p>
    <w:p>
      <w:pPr>
        <w:spacing w:before="561" w:beforeLines="180" w:after="156" w:afterLines="50"/>
        <w:rPr>
          <w:rFonts w:hint="eastAsia" w:ascii="微软雅黑" w:hAnsi="微软雅黑" w:eastAsia="微软雅黑"/>
          <w:b/>
          <w:bCs/>
          <w:sz w:val="28"/>
          <w:szCs w:val="28"/>
          <w:highlight w:val="none"/>
        </w:rPr>
      </w:pPr>
      <w:r>
        <w:rPr>
          <w:rFonts w:hint="eastAsia" w:ascii="微软雅黑" w:hAnsi="微软雅黑" w:eastAsia="微软雅黑"/>
          <w:b/>
          <w:bCs/>
          <w:sz w:val="28"/>
          <w:szCs w:val="28"/>
          <w:highlight w:val="none"/>
        </w:rPr>
        <w:t>学院简介</w:t>
      </w:r>
    </w:p>
    <w:p>
      <w:pPr>
        <w:widowControl/>
        <w:snapToGrid w:val="0"/>
        <w:spacing w:line="360" w:lineRule="auto"/>
        <w:ind w:firstLine="435"/>
        <w:rPr>
          <w:rFonts w:hint="eastAsia" w:ascii="宋体" w:hAnsi="宋体"/>
          <w:sz w:val="24"/>
          <w:highlight w:val="none"/>
        </w:rPr>
      </w:pPr>
      <w:r>
        <w:rPr>
          <w:rFonts w:hint="eastAsia" w:ascii="宋体" w:hAnsi="宋体"/>
          <w:sz w:val="24"/>
          <w:highlight w:val="none"/>
        </w:rPr>
        <w:t>微电子学院成立于2018年，是华南理工大学广州国际校区首批建设的学院之一，是教育部批准的首批国家示范性微电子学院（筹建）之一。</w:t>
      </w:r>
    </w:p>
    <w:p>
      <w:pPr>
        <w:widowControl/>
        <w:snapToGrid w:val="0"/>
        <w:spacing w:line="360" w:lineRule="auto"/>
        <w:ind w:firstLine="435"/>
        <w:rPr>
          <w:rFonts w:hint="eastAsia" w:ascii="宋体" w:hAnsi="宋体"/>
          <w:sz w:val="24"/>
          <w:highlight w:val="none"/>
        </w:rPr>
      </w:pPr>
      <w:r>
        <w:rPr>
          <w:rFonts w:hint="eastAsia" w:ascii="宋体" w:hAnsi="宋体"/>
          <w:sz w:val="24"/>
          <w:highlight w:val="none"/>
        </w:rPr>
        <w:t>为实现国家集成电路发展战略提供人才保障，面向粤港澳大湾区电子信息技术发展需求，在宽带通信芯片、计算和人工智能芯片、低功耗物联网芯片、</w:t>
      </w:r>
      <w:r>
        <w:rPr>
          <w:rFonts w:hint="eastAsia" w:ascii="宋体" w:hAnsi="宋体"/>
          <w:sz w:val="24"/>
          <w:highlight w:val="none"/>
          <w:lang w:val="en-US" w:eastAsia="zh-CN"/>
        </w:rPr>
        <w:t>智能EDA、</w:t>
      </w:r>
      <w:r>
        <w:rPr>
          <w:rFonts w:hint="eastAsia" w:ascii="宋体" w:hAnsi="宋体"/>
          <w:sz w:val="24"/>
          <w:highlight w:val="none"/>
        </w:rPr>
        <w:t>第三代半导体器件与芯片、低维材料与器件、柔性电子及其集成技术、新型量子器件等领域开展前瞻性应用基础研究和技术创新，培养具有创新能力和实践能力的高素质人才，旨在建设集成电路及微电子领域世界一流水平的创新高地和人才培养基地。</w:t>
      </w:r>
    </w:p>
    <w:p>
      <w:pPr>
        <w:widowControl/>
        <w:snapToGrid w:val="0"/>
        <w:spacing w:line="360" w:lineRule="auto"/>
        <w:ind w:firstLine="480" w:firstLineChars="200"/>
        <w:jc w:val="left"/>
        <w:rPr>
          <w:rFonts w:hint="eastAsia" w:ascii="宋体" w:hAnsi="宋体" w:eastAsia="宋体"/>
          <w:sz w:val="24"/>
          <w:highlight w:val="none"/>
          <w:lang w:eastAsia="zh-CN"/>
        </w:rPr>
      </w:pPr>
      <w:r>
        <w:rPr>
          <w:rFonts w:hint="eastAsia" w:ascii="宋体" w:hAnsi="宋体" w:eastAsia="宋体"/>
          <w:sz w:val="24"/>
          <w:highlight w:val="none"/>
          <w:lang w:eastAsia="zh-CN"/>
        </w:rPr>
        <w:drawing>
          <wp:inline distT="0" distB="0" distL="114300" distR="114300">
            <wp:extent cx="6460490" cy="4844415"/>
            <wp:effectExtent l="0" t="0" r="16510" b="13335"/>
            <wp:docPr id="10" name="图片 10" descr="学生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学生图片2"/>
                    <pic:cNvPicPr>
                      <a:picLocks noChangeAspect="1"/>
                    </pic:cNvPicPr>
                  </pic:nvPicPr>
                  <pic:blipFill>
                    <a:blip r:embed="rId6"/>
                    <a:stretch>
                      <a:fillRect/>
                    </a:stretch>
                  </pic:blipFill>
                  <pic:spPr>
                    <a:xfrm>
                      <a:off x="0" y="0"/>
                      <a:ext cx="6460490" cy="4844415"/>
                    </a:xfrm>
                    <a:prstGeom prst="rect">
                      <a:avLst/>
                    </a:prstGeom>
                  </pic:spPr>
                </pic:pic>
              </a:graphicData>
            </a:graphic>
          </wp:inline>
        </w:drawing>
      </w:r>
    </w:p>
    <w:p>
      <w:pPr>
        <w:widowControl/>
        <w:snapToGrid w:val="0"/>
        <w:spacing w:line="360" w:lineRule="auto"/>
        <w:ind w:firstLine="420" w:firstLineChars="200"/>
        <w:jc w:val="left"/>
        <w:rPr>
          <w:rFonts w:hint="eastAsia" w:ascii="宋体" w:hAnsi="宋体"/>
          <w:sz w:val="24"/>
          <w:highlight w:val="none"/>
        </w:rPr>
      </w:pPr>
      <w:r>
        <w:rPr>
          <w:highlight w:val="none"/>
        </w:rPr>
        <w:drawing>
          <wp:inline distT="0" distB="0" distL="0" distR="0">
            <wp:extent cx="6479540" cy="429514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7"/>
                    <a:stretch>
                      <a:fillRect/>
                    </a:stretch>
                  </pic:blipFill>
                  <pic:spPr>
                    <a:xfrm>
                      <a:off x="0" y="0"/>
                      <a:ext cx="6479540" cy="4295140"/>
                    </a:xfrm>
                    <a:prstGeom prst="rect">
                      <a:avLst/>
                    </a:prstGeom>
                  </pic:spPr>
                </pic:pic>
              </a:graphicData>
            </a:graphic>
          </wp:inline>
        </w:drawing>
      </w:r>
    </w:p>
    <w:p>
      <w:pPr>
        <w:widowControl/>
        <w:snapToGrid w:val="0"/>
        <w:spacing w:line="360" w:lineRule="auto"/>
        <w:ind w:firstLine="480" w:firstLineChars="200"/>
        <w:jc w:val="left"/>
        <w:rPr>
          <w:rFonts w:hint="eastAsia" w:ascii="宋体" w:hAnsi="宋体"/>
          <w:sz w:val="24"/>
          <w:highlight w:val="none"/>
        </w:rPr>
      </w:pPr>
    </w:p>
    <w:p>
      <w:pPr>
        <w:widowControl/>
        <w:snapToGrid w:val="0"/>
        <w:spacing w:line="360" w:lineRule="auto"/>
        <w:ind w:firstLine="480" w:firstLineChars="200"/>
        <w:jc w:val="left"/>
        <w:rPr>
          <w:rFonts w:hint="eastAsia" w:ascii="宋体" w:hAnsi="宋体"/>
          <w:sz w:val="24"/>
          <w:highlight w:val="none"/>
        </w:rPr>
      </w:pPr>
      <w:r>
        <w:rPr>
          <w:rFonts w:hint="eastAsia" w:ascii="宋体" w:hAnsi="宋体"/>
          <w:sz w:val="24"/>
          <w:highlight w:val="none"/>
        </w:rPr>
        <w:t>目前，学院依托国际示范性微电子学院（2015年）的师资力量，已汇聚了一支年轻化、国际化、高水平的教学及科研团队，其中包括</w:t>
      </w:r>
      <w:r>
        <w:rPr>
          <w:rFonts w:hint="eastAsia" w:ascii="宋体" w:hAnsi="宋体"/>
          <w:sz w:val="24"/>
          <w:highlight w:val="none"/>
        </w:rPr>
        <w:t>英国皇家工程院院士</w:t>
      </w:r>
      <w:r>
        <w:rPr>
          <w:rFonts w:hint="eastAsia" w:ascii="宋体" w:hAnsi="宋体"/>
          <w:sz w:val="24"/>
          <w:highlight w:val="none"/>
          <w:lang w:val="en-US" w:eastAsia="zh-CN"/>
        </w:rPr>
        <w:t>1名</w:t>
      </w:r>
      <w:r>
        <w:rPr>
          <w:rFonts w:hint="eastAsia" w:ascii="宋体" w:hAnsi="宋体"/>
          <w:sz w:val="24"/>
          <w:highlight w:val="none"/>
        </w:rPr>
        <w:t xml:space="preserve">、IEEE Fellow </w:t>
      </w:r>
      <w:r>
        <w:rPr>
          <w:rFonts w:hint="eastAsia" w:ascii="宋体" w:hAnsi="宋体"/>
          <w:sz w:val="24"/>
          <w:highlight w:val="none"/>
          <w:lang w:val="en-US" w:eastAsia="zh-CN"/>
        </w:rPr>
        <w:t>4名</w:t>
      </w:r>
      <w:r>
        <w:rPr>
          <w:rFonts w:hint="eastAsia" w:ascii="宋体" w:hAnsi="宋体"/>
          <w:sz w:val="24"/>
          <w:highlight w:val="none"/>
        </w:rPr>
        <w:t>、国家高层次人才</w:t>
      </w:r>
      <w:r>
        <w:rPr>
          <w:rFonts w:hint="eastAsia" w:ascii="宋体" w:hAnsi="宋体"/>
          <w:sz w:val="24"/>
          <w:highlight w:val="none"/>
          <w:lang w:val="en-US" w:eastAsia="zh-CN"/>
        </w:rPr>
        <w:t>10名</w:t>
      </w:r>
      <w:r>
        <w:rPr>
          <w:rFonts w:hint="eastAsia" w:ascii="宋体" w:hAnsi="宋体"/>
          <w:sz w:val="24"/>
          <w:highlight w:val="none"/>
        </w:rPr>
        <w:t>，引进</w:t>
      </w:r>
      <w:r>
        <w:rPr>
          <w:rFonts w:hint="eastAsia" w:ascii="宋体" w:hAnsi="宋体"/>
          <w:sz w:val="24"/>
          <w:highlight w:val="none"/>
          <w:lang w:eastAsia="zh-CN"/>
        </w:rPr>
        <w:t>了</w:t>
      </w:r>
      <w:r>
        <w:rPr>
          <w:rFonts w:hint="eastAsia" w:ascii="宋体" w:hAnsi="宋体"/>
          <w:sz w:val="24"/>
          <w:highlight w:val="none"/>
        </w:rPr>
        <w:t>具有丰富学术界及工业界芯片设计经验的高端人才多名。</w:t>
      </w:r>
    </w:p>
    <w:p>
      <w:pPr>
        <w:widowControl/>
        <w:snapToGrid w:val="0"/>
        <w:spacing w:line="360" w:lineRule="auto"/>
        <w:ind w:firstLine="480" w:firstLineChars="200"/>
        <w:jc w:val="left"/>
        <w:rPr>
          <w:rFonts w:hint="eastAsia" w:ascii="宋体" w:hAnsi="宋体"/>
          <w:sz w:val="24"/>
          <w:highlight w:val="none"/>
        </w:rPr>
      </w:pPr>
      <w:bookmarkStart w:id="0" w:name="OLE_LINK1"/>
      <w:r>
        <w:rPr>
          <w:rFonts w:hint="eastAsia" w:ascii="宋体" w:hAnsi="宋体"/>
          <w:sz w:val="24"/>
          <w:highlight w:val="none"/>
        </w:rPr>
        <w:t>学院拥有国家集成电路人才培养基地、国家级人才培养模式创新实验区、广东省集成电路产教融合协同创新平台、广东省本科高校实验教学示范中心—集成电路教学与创新实验中心，为创新人才培养提供保障。</w:t>
      </w:r>
    </w:p>
    <w:p>
      <w:pPr>
        <w:widowControl/>
        <w:snapToGrid w:val="0"/>
        <w:spacing w:line="360" w:lineRule="auto"/>
        <w:ind w:firstLine="480" w:firstLineChars="200"/>
        <w:jc w:val="left"/>
        <w:rPr>
          <w:rFonts w:hint="eastAsia" w:ascii="宋体" w:hAnsi="宋体"/>
          <w:sz w:val="24"/>
          <w:highlight w:val="none"/>
        </w:rPr>
      </w:pPr>
      <w:r>
        <w:rPr>
          <w:rFonts w:hint="eastAsia" w:ascii="宋体" w:hAnsi="宋体"/>
          <w:sz w:val="24"/>
          <w:highlight w:val="none"/>
        </w:rPr>
        <w:t>学生培养获得产业界鼎力支持，目前已与华为、中兴通讯、格力、美的、京信通信、德赛电子、海格通信、概伦</w:t>
      </w:r>
      <w:r>
        <w:rPr>
          <w:rFonts w:ascii="宋体" w:hAnsi="宋体"/>
          <w:sz w:val="24"/>
          <w:highlight w:val="none"/>
        </w:rPr>
        <w:t>电子、华大九天、</w:t>
      </w:r>
      <w:r>
        <w:rPr>
          <w:rFonts w:hint="eastAsia" w:ascii="宋体" w:hAnsi="宋体"/>
          <w:sz w:val="24"/>
          <w:highlight w:val="none"/>
        </w:rPr>
        <w:t>普源</w:t>
      </w:r>
      <w:r>
        <w:rPr>
          <w:rFonts w:ascii="宋体" w:hAnsi="宋体"/>
          <w:sz w:val="24"/>
          <w:highlight w:val="none"/>
        </w:rPr>
        <w:t>电子、紫光同创、</w:t>
      </w:r>
      <w:r>
        <w:rPr>
          <w:rFonts w:hint="eastAsia" w:ascii="宋体" w:hAnsi="宋体"/>
          <w:sz w:val="24"/>
          <w:highlight w:val="none"/>
        </w:rPr>
        <w:t>广州视源电子、珠海全志科技、工信部电子五所、广州粤芯半导体、广州安凯微电子、广州慧智微电子、广东芯粤能、广州泰斗微电子、广东高云、广州</w:t>
      </w:r>
      <w:r>
        <w:rPr>
          <w:rFonts w:ascii="宋体" w:hAnsi="宋体"/>
          <w:sz w:val="24"/>
          <w:highlight w:val="none"/>
        </w:rPr>
        <w:t>奥松电子、珠海杰理</w:t>
      </w:r>
      <w:r>
        <w:rPr>
          <w:rFonts w:hint="eastAsia" w:ascii="宋体" w:hAnsi="宋体"/>
          <w:sz w:val="24"/>
          <w:highlight w:val="none"/>
        </w:rPr>
        <w:t>科技、</w:t>
      </w:r>
      <w:r>
        <w:rPr>
          <w:rFonts w:ascii="宋体" w:hAnsi="宋体"/>
          <w:sz w:val="24"/>
          <w:highlight w:val="none"/>
        </w:rPr>
        <w:t>佛山蓝箭电子</w:t>
      </w:r>
      <w:r>
        <w:rPr>
          <w:rFonts w:hint="eastAsia" w:ascii="宋体" w:hAnsi="宋体"/>
          <w:sz w:val="24"/>
          <w:highlight w:val="none"/>
        </w:rPr>
        <w:t>等信息产业龙头企业共建企业实习基地。</w:t>
      </w:r>
    </w:p>
    <w:bookmarkEnd w:id="0"/>
    <w:p>
      <w:pPr>
        <w:widowControl/>
        <w:snapToGrid w:val="0"/>
        <w:spacing w:line="360" w:lineRule="auto"/>
        <w:jc w:val="left"/>
        <w:rPr>
          <w:rFonts w:hint="eastAsia" w:ascii="宋体" w:hAnsi="宋体"/>
          <w:sz w:val="24"/>
          <w:highlight w:val="none"/>
        </w:rPr>
      </w:pPr>
    </w:p>
    <w:p>
      <w:pPr>
        <w:widowControl/>
        <w:snapToGrid w:val="0"/>
        <w:spacing w:line="360" w:lineRule="auto"/>
        <w:jc w:val="left"/>
        <w:rPr>
          <w:rFonts w:hint="eastAsia" w:ascii="宋体" w:hAnsi="宋体"/>
          <w:b/>
          <w:sz w:val="24"/>
          <w:highlight w:val="none"/>
        </w:rPr>
      </w:pPr>
      <w:r>
        <w:rPr>
          <w:rFonts w:hint="eastAsia" w:ascii="宋体" w:hAnsi="宋体"/>
          <w:b/>
          <w:sz w:val="24"/>
          <w:highlight w:val="none"/>
        </w:rPr>
        <w:t>发展历程</w:t>
      </w:r>
    </w:p>
    <w:p>
      <w:pPr>
        <w:widowControl/>
        <w:snapToGrid w:val="0"/>
        <w:spacing w:line="240" w:lineRule="auto"/>
        <w:ind w:firstLine="420"/>
        <w:jc w:val="left"/>
        <w:rPr>
          <w:rFonts w:hint="eastAsia" w:ascii="宋体" w:hAnsi="宋体"/>
          <w:sz w:val="24"/>
          <w:highlight w:val="none"/>
          <w:lang w:val="en-US" w:eastAsia="zh-CN"/>
        </w:rPr>
      </w:pPr>
      <w:r>
        <w:rPr>
          <w:rFonts w:hint="eastAsia" w:ascii="宋体" w:hAnsi="宋体"/>
          <w:sz w:val="24"/>
          <w:highlight w:val="none"/>
          <w:lang w:val="en-US" w:eastAsia="zh-CN"/>
        </w:rPr>
        <w:t>发展历程</w:t>
      </w:r>
      <w:r>
        <w:rPr>
          <w:rFonts w:hint="eastAsia" w:ascii="宋体" w:hAnsi="宋体"/>
          <w:sz w:val="24"/>
          <w:highlight w:val="none"/>
          <w:lang w:val="en-US" w:eastAsia="zh-CN"/>
        </w:rPr>
        <w:t>（重新作图）</w:t>
      </w:r>
    </w:p>
    <w:p>
      <w:pPr>
        <w:widowControl/>
        <w:snapToGrid w:val="0"/>
        <w:spacing w:line="240" w:lineRule="auto"/>
        <w:ind w:firstLine="420"/>
        <w:jc w:val="left"/>
        <w:rPr>
          <w:rFonts w:hint="eastAsia" w:ascii="宋体" w:hAnsi="宋体"/>
          <w:sz w:val="24"/>
          <w:highlight w:val="none"/>
          <w:lang w:val="en-US" w:eastAsia="zh-CN"/>
        </w:rPr>
      </w:pPr>
      <w:r>
        <w:rPr>
          <w:rFonts w:hint="eastAsia" w:ascii="宋体" w:hAnsi="宋体"/>
          <w:sz w:val="24"/>
          <w:highlight w:val="none"/>
          <w:lang w:val="en-US" w:eastAsia="zh-CN"/>
        </w:rPr>
        <w:t>1958年：首批半导体专业（全国十所工科院校）</w:t>
      </w:r>
    </w:p>
    <w:p>
      <w:pPr>
        <w:widowControl/>
        <w:snapToGrid w:val="0"/>
        <w:spacing w:line="240" w:lineRule="auto"/>
        <w:ind w:firstLine="420"/>
        <w:jc w:val="left"/>
        <w:rPr>
          <w:rFonts w:hint="eastAsia" w:ascii="宋体" w:hAnsi="宋体"/>
          <w:sz w:val="24"/>
          <w:highlight w:val="none"/>
          <w:lang w:val="en-US" w:eastAsia="zh-CN"/>
        </w:rPr>
      </w:pPr>
      <w:r>
        <w:rPr>
          <w:rFonts w:hint="eastAsia" w:ascii="宋体" w:hAnsi="宋体"/>
          <w:sz w:val="24"/>
          <w:highlight w:val="none"/>
          <w:lang w:val="en-US" w:eastAsia="zh-CN"/>
        </w:rPr>
        <w:t>1970年：首块广东省集成电路</w:t>
      </w:r>
    </w:p>
    <w:p>
      <w:pPr>
        <w:widowControl/>
        <w:snapToGrid w:val="0"/>
        <w:spacing w:line="240" w:lineRule="auto"/>
        <w:ind w:firstLine="420"/>
        <w:jc w:val="left"/>
        <w:rPr>
          <w:rFonts w:hint="eastAsia" w:ascii="宋体" w:hAnsi="宋体"/>
          <w:sz w:val="24"/>
          <w:highlight w:val="none"/>
          <w:lang w:val="en-US" w:eastAsia="zh-CN"/>
        </w:rPr>
      </w:pPr>
      <w:r>
        <w:rPr>
          <w:rFonts w:hint="eastAsia" w:ascii="宋体" w:hAnsi="宋体"/>
          <w:sz w:val="24"/>
          <w:highlight w:val="none"/>
          <w:lang w:val="en-US" w:eastAsia="zh-CN"/>
        </w:rPr>
        <w:t>2003年：“微电子学与固体电子学”二级学科博士点</w:t>
      </w:r>
      <w:r>
        <w:rPr>
          <w:rFonts w:hint="eastAsia" w:ascii="宋体" w:hAnsi="宋体"/>
          <w:sz w:val="24"/>
          <w:highlight w:val="none"/>
          <w:lang w:val="en-US" w:eastAsia="zh-CN"/>
        </w:rPr>
        <w:t>（太挤了的话这条可以不写）</w:t>
      </w:r>
    </w:p>
    <w:p>
      <w:pPr>
        <w:widowControl/>
        <w:snapToGrid w:val="0"/>
        <w:spacing w:line="240" w:lineRule="auto"/>
        <w:ind w:firstLine="420"/>
        <w:jc w:val="left"/>
        <w:rPr>
          <w:rFonts w:hint="eastAsia" w:ascii="宋体" w:hAnsi="宋体"/>
          <w:sz w:val="24"/>
          <w:highlight w:val="none"/>
          <w:lang w:val="en-US" w:eastAsia="zh-CN"/>
        </w:rPr>
      </w:pPr>
      <w:r>
        <w:rPr>
          <w:rFonts w:hint="eastAsia" w:ascii="宋体" w:hAnsi="宋体"/>
          <w:sz w:val="24"/>
          <w:highlight w:val="none"/>
          <w:lang w:val="en-US" w:eastAsia="zh-CN"/>
        </w:rPr>
        <w:t>2004年：教育部国家集成电路人才培养基地</w:t>
      </w:r>
    </w:p>
    <w:p>
      <w:pPr>
        <w:widowControl/>
        <w:snapToGrid w:val="0"/>
        <w:spacing w:line="240" w:lineRule="auto"/>
        <w:ind w:firstLine="420"/>
        <w:jc w:val="left"/>
        <w:rPr>
          <w:rFonts w:hint="eastAsia" w:ascii="宋体" w:hAnsi="宋体"/>
          <w:sz w:val="24"/>
          <w:highlight w:val="none"/>
          <w:lang w:val="en-US" w:eastAsia="zh-CN"/>
        </w:rPr>
      </w:pPr>
      <w:r>
        <w:rPr>
          <w:rFonts w:hint="eastAsia" w:ascii="宋体" w:hAnsi="宋体"/>
          <w:sz w:val="24"/>
          <w:highlight w:val="none"/>
          <w:lang w:val="en-US" w:eastAsia="zh-CN"/>
        </w:rPr>
        <w:t>2006年：“集成电路设计与集成系统”首批国家特色专业</w:t>
      </w:r>
    </w:p>
    <w:p>
      <w:pPr>
        <w:widowControl/>
        <w:snapToGrid w:val="0"/>
        <w:spacing w:line="240" w:lineRule="auto"/>
        <w:ind w:firstLine="420"/>
        <w:jc w:val="left"/>
        <w:rPr>
          <w:rFonts w:hint="eastAsia" w:ascii="宋体" w:hAnsi="宋体"/>
          <w:sz w:val="24"/>
          <w:highlight w:val="none"/>
          <w:lang w:val="en-US" w:eastAsia="zh-CN"/>
        </w:rPr>
      </w:pPr>
      <w:r>
        <w:rPr>
          <w:rFonts w:hint="eastAsia" w:ascii="宋体" w:hAnsi="宋体"/>
          <w:sz w:val="24"/>
          <w:highlight w:val="none"/>
          <w:lang w:val="en-US" w:eastAsia="zh-CN"/>
        </w:rPr>
        <w:t>2015年：国家示范性微电子学院（筹建）</w:t>
      </w:r>
    </w:p>
    <w:p>
      <w:pPr>
        <w:widowControl/>
        <w:snapToGrid w:val="0"/>
        <w:spacing w:line="240" w:lineRule="auto"/>
        <w:ind w:firstLine="420"/>
        <w:jc w:val="left"/>
        <w:rPr>
          <w:rFonts w:hint="default" w:ascii="宋体" w:hAnsi="宋体"/>
          <w:sz w:val="24"/>
          <w:highlight w:val="none"/>
          <w:lang w:val="en-US" w:eastAsia="zh-CN"/>
        </w:rPr>
      </w:pPr>
      <w:r>
        <w:rPr>
          <w:rFonts w:hint="eastAsia" w:ascii="宋体" w:hAnsi="宋体"/>
          <w:sz w:val="24"/>
          <w:highlight w:val="none"/>
          <w:lang w:val="en-US" w:eastAsia="zh-CN"/>
        </w:rPr>
        <w:t>2018年：微电子学院（国际校区）成立</w:t>
      </w:r>
    </w:p>
    <w:p>
      <w:pPr>
        <w:widowControl/>
        <w:snapToGrid w:val="0"/>
        <w:spacing w:line="240" w:lineRule="auto"/>
        <w:ind w:firstLine="420"/>
        <w:jc w:val="left"/>
        <w:rPr>
          <w:rFonts w:hint="default" w:ascii="宋体" w:hAnsi="宋体"/>
          <w:sz w:val="24"/>
          <w:highlight w:val="none"/>
          <w:lang w:val="en-US" w:eastAsia="zh-CN"/>
        </w:rPr>
      </w:pPr>
      <w:r>
        <w:rPr>
          <w:rFonts w:hint="eastAsia" w:ascii="宋体" w:hAnsi="宋体"/>
          <w:sz w:val="24"/>
          <w:highlight w:val="none"/>
          <w:lang w:val="en-US" w:eastAsia="zh-CN"/>
        </w:rPr>
        <w:t>2019年：首批广东省产业学院</w:t>
      </w:r>
    </w:p>
    <w:p>
      <w:pPr>
        <w:widowControl/>
        <w:snapToGrid w:val="0"/>
        <w:spacing w:line="240" w:lineRule="auto"/>
        <w:ind w:firstLine="420"/>
        <w:jc w:val="left"/>
        <w:rPr>
          <w:rFonts w:hint="eastAsia" w:ascii="宋体" w:hAnsi="宋体"/>
          <w:sz w:val="24"/>
          <w:highlight w:val="none"/>
          <w:lang w:val="en-US" w:eastAsia="zh-CN"/>
        </w:rPr>
      </w:pPr>
      <w:r>
        <w:rPr>
          <w:rFonts w:hint="eastAsia" w:ascii="宋体" w:hAnsi="宋体"/>
          <w:sz w:val="24"/>
          <w:highlight w:val="none"/>
          <w:lang w:val="en-US" w:eastAsia="zh-CN"/>
        </w:rPr>
        <w:t>2021年：“集成电路科学与工程”一级学科博士授权点单位</w:t>
      </w:r>
    </w:p>
    <w:p>
      <w:pPr>
        <w:widowControl/>
        <w:snapToGrid w:val="0"/>
        <w:spacing w:line="240" w:lineRule="auto"/>
        <w:ind w:firstLine="420"/>
        <w:jc w:val="left"/>
        <w:rPr>
          <w:rFonts w:hint="eastAsia" w:ascii="宋体" w:hAnsi="宋体"/>
          <w:sz w:val="24"/>
          <w:highlight w:val="none"/>
          <w:lang w:val="en-US" w:eastAsia="zh-CN"/>
        </w:rPr>
      </w:pPr>
      <w:r>
        <w:rPr>
          <w:rFonts w:hint="eastAsia" w:ascii="宋体" w:hAnsi="宋体"/>
          <w:sz w:val="24"/>
          <w:highlight w:val="none"/>
          <w:lang w:val="en-US" w:eastAsia="zh-CN"/>
        </w:rPr>
        <w:t>2022年：“微电子科学与工程”国家一流专业</w:t>
      </w:r>
    </w:p>
    <w:p>
      <w:pPr>
        <w:widowControl/>
        <w:snapToGrid w:val="0"/>
        <w:spacing w:line="240" w:lineRule="auto"/>
        <w:ind w:firstLine="420"/>
        <w:jc w:val="left"/>
        <w:rPr>
          <w:rFonts w:hint="eastAsia" w:ascii="宋体" w:hAnsi="宋体"/>
          <w:sz w:val="24"/>
          <w:highlight w:val="none"/>
          <w:lang w:val="en-US" w:eastAsia="zh-CN"/>
        </w:rPr>
      </w:pPr>
      <w:r>
        <w:rPr>
          <w:rFonts w:hint="eastAsia" w:ascii="宋体" w:hAnsi="宋体"/>
          <w:sz w:val="24"/>
          <w:highlight w:val="none"/>
          <w:lang w:val="en-US" w:eastAsia="zh-CN"/>
        </w:rPr>
        <w:t>2023年：“集成电路科学与工程”首批博士后流动站、广东省集成电路产教融合协同创新平台</w:t>
      </w:r>
    </w:p>
    <w:p>
      <w:pPr>
        <w:widowControl/>
        <w:snapToGrid w:val="0"/>
        <w:spacing w:line="240" w:lineRule="auto"/>
        <w:ind w:firstLine="420"/>
        <w:jc w:val="left"/>
        <w:rPr>
          <w:rFonts w:hint="default" w:ascii="宋体" w:hAnsi="宋体"/>
          <w:sz w:val="24"/>
          <w:highlight w:val="none"/>
          <w:lang w:val="en-US" w:eastAsia="zh-CN"/>
        </w:rPr>
      </w:pPr>
      <w:r>
        <w:rPr>
          <w:rFonts w:hint="eastAsia" w:ascii="宋体" w:hAnsi="宋体"/>
          <w:sz w:val="24"/>
          <w:highlight w:val="none"/>
          <w:lang w:val="en-US" w:eastAsia="zh-CN"/>
        </w:rPr>
        <w:t>2024年：教育部工程研究中心</w:t>
      </w:r>
    </w:p>
    <w:p>
      <w:pPr>
        <w:widowControl/>
        <w:snapToGrid w:val="0"/>
        <w:spacing w:line="360" w:lineRule="auto"/>
        <w:ind w:firstLine="420"/>
        <w:jc w:val="left"/>
        <w:rPr>
          <w:rFonts w:hint="eastAsia" w:ascii="宋体" w:hAnsi="宋体"/>
          <w:sz w:val="24"/>
          <w:highlight w:val="none"/>
        </w:rPr>
      </w:pPr>
    </w:p>
    <w:p>
      <w:pPr>
        <w:widowControl/>
        <w:snapToGrid w:val="0"/>
        <w:spacing w:line="360" w:lineRule="auto"/>
        <w:ind w:firstLine="420"/>
        <w:jc w:val="left"/>
        <w:rPr>
          <w:rFonts w:hint="eastAsia" w:ascii="宋体" w:hAnsi="宋体"/>
          <w:sz w:val="24"/>
          <w:highlight w:val="none"/>
        </w:rPr>
      </w:pPr>
      <w:r>
        <w:rPr>
          <w:rFonts w:hint="eastAsia" w:ascii="宋体" w:hAnsi="宋体"/>
          <w:sz w:val="24"/>
          <w:highlight w:val="none"/>
        </w:rPr>
        <w:t>华南理工大学微电子学院的前身是半导体材料与器件专业，是全国最早建立该专业的</w:t>
      </w:r>
      <w:r>
        <w:rPr>
          <w:rFonts w:ascii="宋体" w:hAnsi="宋体"/>
          <w:sz w:val="24"/>
          <w:highlight w:val="none"/>
        </w:rPr>
        <w:t>10</w:t>
      </w:r>
      <w:r>
        <w:rPr>
          <w:rFonts w:hint="eastAsia" w:ascii="宋体" w:hAnsi="宋体"/>
          <w:sz w:val="24"/>
          <w:highlight w:val="none"/>
        </w:rPr>
        <w:t>所工科院校之一，后历经半导体物理与器件、微电子技术、集成电路设计与集成系统、电子科学与技术等专业名称变迁。已形成了包括本科</w:t>
      </w:r>
      <w:r>
        <w:rPr>
          <w:rFonts w:ascii="宋体" w:hAnsi="宋体"/>
          <w:sz w:val="24"/>
          <w:highlight w:val="none"/>
        </w:rPr>
        <w:t>-硕士-博士的完整人才培养体系</w:t>
      </w:r>
      <w:r>
        <w:rPr>
          <w:rFonts w:hint="eastAsia" w:ascii="宋体" w:hAnsi="宋体"/>
          <w:sz w:val="24"/>
          <w:highlight w:val="none"/>
          <w:lang w:eastAsia="zh-CN"/>
        </w:rPr>
        <w:t>（</w:t>
      </w:r>
      <w:r>
        <w:rPr>
          <w:rFonts w:hint="eastAsia" w:ascii="宋体" w:hAnsi="宋体"/>
          <w:sz w:val="24"/>
          <w:highlight w:val="none"/>
          <w:lang w:val="en-US" w:eastAsia="zh-CN"/>
        </w:rPr>
        <w:t>包括2个本科专业，4个硕士学位授权学科，3个博士学位授权学科，2个博士后流动站</w:t>
      </w:r>
      <w:r>
        <w:rPr>
          <w:rFonts w:hint="eastAsia" w:ascii="宋体" w:hAnsi="宋体"/>
          <w:sz w:val="24"/>
          <w:highlight w:val="none"/>
          <w:lang w:eastAsia="zh-CN"/>
        </w:rPr>
        <w:t>）</w:t>
      </w:r>
      <w:r>
        <w:rPr>
          <w:rFonts w:hint="eastAsia" w:ascii="宋体" w:hAnsi="宋体"/>
          <w:sz w:val="24"/>
          <w:highlight w:val="none"/>
          <w:lang w:val="en-US" w:eastAsia="zh-CN"/>
        </w:rPr>
        <w:t>，</w:t>
      </w:r>
      <w:r>
        <w:rPr>
          <w:rFonts w:hint="eastAsia" w:ascii="宋体" w:hAnsi="宋体"/>
          <w:sz w:val="24"/>
          <w:highlight w:val="none"/>
        </w:rPr>
        <w:t>是华南地区首个国家集成电路人才培养基地（2</w:t>
      </w:r>
      <w:r>
        <w:rPr>
          <w:rFonts w:ascii="宋体" w:hAnsi="宋体"/>
          <w:sz w:val="24"/>
          <w:highlight w:val="none"/>
        </w:rPr>
        <w:t>004</w:t>
      </w:r>
      <w:r>
        <w:rPr>
          <w:rFonts w:hint="eastAsia" w:ascii="宋体" w:hAnsi="宋体"/>
          <w:sz w:val="24"/>
          <w:highlight w:val="none"/>
        </w:rPr>
        <w:t>年）、首个电子与信息工程博士授权单位（2</w:t>
      </w:r>
      <w:r>
        <w:rPr>
          <w:rFonts w:ascii="宋体" w:hAnsi="宋体"/>
          <w:sz w:val="24"/>
          <w:highlight w:val="none"/>
        </w:rPr>
        <w:t>011</w:t>
      </w:r>
      <w:r>
        <w:rPr>
          <w:rFonts w:hint="eastAsia" w:ascii="宋体" w:hAnsi="宋体"/>
          <w:sz w:val="24"/>
          <w:highlight w:val="none"/>
        </w:rPr>
        <w:t>年）、首个集成电路科学与工程一级学科授权单位（2</w:t>
      </w:r>
      <w:r>
        <w:rPr>
          <w:rFonts w:ascii="宋体" w:hAnsi="宋体"/>
          <w:sz w:val="24"/>
          <w:highlight w:val="none"/>
        </w:rPr>
        <w:t>021</w:t>
      </w:r>
      <w:r>
        <w:rPr>
          <w:rFonts w:hint="eastAsia" w:ascii="宋体" w:hAnsi="宋体"/>
          <w:sz w:val="24"/>
          <w:highlight w:val="none"/>
        </w:rPr>
        <w:t>年）。</w:t>
      </w:r>
    </w:p>
    <w:p>
      <w:pPr>
        <w:widowControl/>
        <w:snapToGrid w:val="0"/>
        <w:spacing w:line="360" w:lineRule="auto"/>
        <w:ind w:firstLine="435"/>
        <w:jc w:val="center"/>
        <w:rPr>
          <w:rFonts w:hint="eastAsia" w:ascii="宋体" w:hAnsi="宋体"/>
          <w:b/>
          <w:sz w:val="24"/>
          <w:highlight w:val="none"/>
        </w:rPr>
      </w:pPr>
    </w:p>
    <w:p>
      <w:pPr>
        <w:widowControl/>
        <w:snapToGrid w:val="0"/>
        <w:spacing w:line="360" w:lineRule="auto"/>
        <w:jc w:val="left"/>
        <w:rPr>
          <w:rFonts w:hint="eastAsia" w:ascii="宋体" w:hAnsi="宋体"/>
          <w:b/>
          <w:sz w:val="24"/>
          <w:highlight w:val="none"/>
        </w:rPr>
      </w:pPr>
      <w:r>
        <w:rPr>
          <w:rFonts w:hint="eastAsia" w:ascii="宋体" w:hAnsi="宋体"/>
          <w:b/>
          <w:sz w:val="24"/>
          <w:highlight w:val="none"/>
        </w:rPr>
        <w:t>培养特色</w:t>
      </w:r>
    </w:p>
    <w:p>
      <w:pPr>
        <w:pStyle w:val="15"/>
        <w:widowControl/>
        <w:numPr>
          <w:ilvl w:val="0"/>
          <w:numId w:val="0"/>
        </w:numPr>
        <w:tabs>
          <w:tab w:val="left" w:pos="-840"/>
        </w:tabs>
        <w:snapToGrid w:val="0"/>
        <w:spacing w:after="160" w:line="360" w:lineRule="auto"/>
        <w:jc w:val="left"/>
        <w:rPr>
          <w:rFonts w:hint="eastAsia" w:ascii="宋体" w:hAnsi="宋体"/>
          <w:sz w:val="24"/>
          <w:highlight w:val="none"/>
        </w:rPr>
      </w:pPr>
      <w:r>
        <w:rPr>
          <w:rFonts w:hint="eastAsia" w:ascii="宋体" w:hAnsi="宋体"/>
          <w:sz w:val="24"/>
          <w:highlight w:val="none"/>
          <w:lang w:val="en-US" w:eastAsia="zh-CN"/>
        </w:rPr>
        <w:t>1.</w:t>
      </w:r>
      <w:r>
        <w:rPr>
          <w:rFonts w:hint="eastAsia" w:ascii="宋体" w:hAnsi="宋体"/>
          <w:sz w:val="24"/>
          <w:highlight w:val="none"/>
        </w:rPr>
        <w:t>人才培养体系健全，形成多层次国际化联合培养模式</w:t>
      </w:r>
    </w:p>
    <w:p>
      <w:pPr>
        <w:pStyle w:val="15"/>
        <w:widowControl/>
        <w:numPr>
          <w:ilvl w:val="0"/>
          <w:numId w:val="0"/>
        </w:numPr>
        <w:tabs>
          <w:tab w:val="left" w:pos="-840"/>
        </w:tabs>
        <w:snapToGrid w:val="0"/>
        <w:spacing w:after="160" w:line="360" w:lineRule="auto"/>
        <w:jc w:val="left"/>
        <w:rPr>
          <w:rFonts w:hint="default" w:ascii="宋体" w:hAnsi="宋体"/>
          <w:sz w:val="24"/>
          <w:highlight w:val="none"/>
          <w:lang w:val="en-US" w:eastAsia="zh-CN"/>
        </w:rPr>
      </w:pPr>
      <w:r>
        <w:rPr>
          <w:rFonts w:hint="eastAsia" w:ascii="宋体" w:hAnsi="宋体"/>
          <w:sz w:val="24"/>
          <w:highlight w:val="none"/>
          <w:lang w:val="en-US" w:eastAsia="zh-CN"/>
        </w:rPr>
        <w:t>2.通过教赛融合、产教融合，培养工程解决能力</w:t>
      </w:r>
    </w:p>
    <w:p>
      <w:pPr>
        <w:pStyle w:val="15"/>
        <w:widowControl/>
        <w:numPr>
          <w:ilvl w:val="0"/>
          <w:numId w:val="0"/>
        </w:numPr>
        <w:tabs>
          <w:tab w:val="left" w:pos="-840"/>
        </w:tabs>
        <w:snapToGrid w:val="0"/>
        <w:spacing w:after="160" w:line="360" w:lineRule="auto"/>
        <w:jc w:val="left"/>
        <w:rPr>
          <w:rFonts w:hint="eastAsia" w:ascii="宋体" w:hAnsi="宋体"/>
          <w:sz w:val="24"/>
          <w:highlight w:val="none"/>
          <w:lang w:val="en-US" w:eastAsia="zh-CN"/>
        </w:rPr>
      </w:pPr>
      <w:r>
        <w:rPr>
          <w:rFonts w:hint="eastAsia" w:ascii="宋体" w:hAnsi="宋体"/>
          <w:sz w:val="24"/>
          <w:highlight w:val="none"/>
          <w:lang w:val="en-US" w:eastAsia="zh-CN"/>
        </w:rPr>
        <w:t>3.瞄准技术前沿，提升国际竞争力和学</w:t>
      </w:r>
      <w:bookmarkStart w:id="1" w:name="_GoBack"/>
      <w:bookmarkEnd w:id="1"/>
      <w:r>
        <w:rPr>
          <w:rFonts w:hint="eastAsia" w:ascii="宋体" w:hAnsi="宋体"/>
          <w:sz w:val="24"/>
          <w:highlight w:val="none"/>
          <w:lang w:val="en-US" w:eastAsia="zh-CN"/>
        </w:rPr>
        <w:t>术创新能力</w:t>
      </w:r>
    </w:p>
    <w:p>
      <w:pPr>
        <w:pStyle w:val="15"/>
        <w:widowControl/>
        <w:numPr>
          <w:ilvl w:val="0"/>
          <w:numId w:val="0"/>
        </w:numPr>
        <w:tabs>
          <w:tab w:val="left" w:pos="-840"/>
        </w:tabs>
        <w:snapToGrid w:val="0"/>
        <w:spacing w:after="160" w:line="360" w:lineRule="auto"/>
        <w:jc w:val="left"/>
        <w:rPr>
          <w:rFonts w:hint="eastAsia" w:ascii="宋体" w:hAnsi="宋体"/>
          <w:sz w:val="24"/>
          <w:highlight w:val="none"/>
          <w:lang w:val="en-US" w:eastAsia="zh-CN"/>
        </w:rPr>
      </w:pPr>
    </w:p>
    <w:p>
      <w:pPr>
        <w:widowControl/>
        <w:snapToGrid w:val="0"/>
        <w:spacing w:line="360" w:lineRule="auto"/>
        <w:rPr>
          <w:rFonts w:hint="eastAsia" w:ascii="宋体" w:hAnsi="宋体"/>
          <w:sz w:val="24"/>
          <w:highlight w:val="none"/>
        </w:rPr>
      </w:pPr>
      <w:r>
        <w:rPr>
          <w:rFonts w:hint="eastAsia" w:ascii="宋体" w:hAnsi="宋体"/>
          <w:b/>
          <w:bCs/>
          <w:sz w:val="24"/>
          <w:highlight w:val="none"/>
        </w:rPr>
        <w:t>“宽深厚”知识体系：</w:t>
      </w:r>
      <w:r>
        <w:rPr>
          <w:rFonts w:hint="eastAsia" w:ascii="宋体" w:hAnsi="宋体"/>
          <w:sz w:val="24"/>
          <w:highlight w:val="none"/>
        </w:rPr>
        <w:t>宽——学科专业、深——工程前沿、厚——数理基础</w:t>
      </w:r>
    </w:p>
    <w:tbl>
      <w:tblPr>
        <w:tblStyle w:val="7"/>
        <w:tblW w:w="1033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4"/>
        <w:gridCol w:w="3112"/>
        <w:gridCol w:w="3112"/>
        <w:gridCol w:w="31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43" w:hRule="atLeast"/>
        </w:trPr>
        <w:tc>
          <w:tcPr>
            <w:tcW w:w="994" w:type="dxa"/>
            <w:vAlign w:val="center"/>
          </w:tcPr>
          <w:p>
            <w:pPr>
              <w:autoSpaceDE w:val="0"/>
              <w:autoSpaceDN w:val="0"/>
              <w:adjustRightInd w:val="0"/>
              <w:jc w:val="center"/>
              <w:rPr>
                <w:rFonts w:hint="eastAsia" w:ascii="宋体" w:hAnsi="宋体"/>
                <w:highlight w:val="none"/>
              </w:rPr>
            </w:pPr>
          </w:p>
        </w:tc>
        <w:tc>
          <w:tcPr>
            <w:tcW w:w="9338" w:type="dxa"/>
            <w:gridSpan w:val="3"/>
            <w:vAlign w:val="center"/>
          </w:tcPr>
          <w:p>
            <w:pPr>
              <w:autoSpaceDE w:val="0"/>
              <w:autoSpaceDN w:val="0"/>
              <w:adjustRightInd w:val="0"/>
              <w:jc w:val="center"/>
              <w:rPr>
                <w:rFonts w:hint="eastAsia" w:ascii="宋体" w:hAnsi="宋体"/>
                <w:highlight w:val="none"/>
              </w:rPr>
            </w:pPr>
            <w:r>
              <w:rPr>
                <w:rFonts w:hint="eastAsia" w:ascii="宋体" w:hAnsi="宋体"/>
                <w:highlight w:val="none"/>
              </w:rPr>
              <w:t>学科前沿</w:t>
            </w:r>
            <w:r>
              <w:rPr>
                <w:rFonts w:ascii="宋体" w:hAnsi="宋体"/>
                <w:highlight w:val="none"/>
              </w:rPr>
              <w:t>系列课程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4" w:type="dxa"/>
            <w:vAlign w:val="center"/>
          </w:tcPr>
          <w:p>
            <w:pPr>
              <w:autoSpaceDE w:val="0"/>
              <w:autoSpaceDN w:val="0"/>
              <w:adjustRightInd w:val="0"/>
              <w:jc w:val="center"/>
              <w:rPr>
                <w:rFonts w:hint="eastAsia" w:ascii="宋体" w:hAnsi="宋体"/>
                <w:highlight w:val="none"/>
              </w:rPr>
            </w:pPr>
            <w:r>
              <w:rPr>
                <w:rFonts w:hint="eastAsia" w:ascii="宋体" w:hAnsi="宋体"/>
                <w:highlight w:val="none"/>
              </w:rPr>
              <w:t>四年级</w:t>
            </w:r>
          </w:p>
        </w:tc>
        <w:tc>
          <w:tcPr>
            <w:tcW w:w="3112" w:type="dxa"/>
            <w:vAlign w:val="center"/>
          </w:tcPr>
          <w:p>
            <w:pPr>
              <w:autoSpaceDE w:val="0"/>
              <w:autoSpaceDN w:val="0"/>
              <w:adjustRightInd w:val="0"/>
              <w:jc w:val="center"/>
              <w:rPr>
                <w:rFonts w:hint="eastAsia" w:ascii="宋体" w:hAnsi="宋体"/>
                <w:highlight w:val="none"/>
              </w:rPr>
            </w:pPr>
            <w:r>
              <w:rPr>
                <w:rFonts w:hint="eastAsia" w:ascii="宋体" w:hAnsi="宋体"/>
                <w:highlight w:val="none"/>
              </w:rPr>
              <w:t>纳米器件与纳米电子学</w:t>
            </w:r>
          </w:p>
          <w:p>
            <w:pPr>
              <w:autoSpaceDE w:val="0"/>
              <w:autoSpaceDN w:val="0"/>
              <w:adjustRightInd w:val="0"/>
              <w:jc w:val="center"/>
              <w:rPr>
                <w:rFonts w:hint="eastAsia" w:ascii="宋体" w:hAnsi="宋体"/>
                <w:highlight w:val="none"/>
              </w:rPr>
            </w:pPr>
            <w:r>
              <w:rPr>
                <w:rFonts w:hint="eastAsia" w:ascii="宋体" w:hAnsi="宋体"/>
                <w:highlight w:val="none"/>
              </w:rPr>
              <w:t>微电子</w:t>
            </w:r>
            <w:r>
              <w:rPr>
                <w:rFonts w:ascii="宋体" w:hAnsi="宋体"/>
                <w:highlight w:val="none"/>
              </w:rPr>
              <w:t>器件可靠性及应用技术</w:t>
            </w:r>
          </w:p>
          <w:p>
            <w:pPr>
              <w:autoSpaceDE w:val="0"/>
              <w:autoSpaceDN w:val="0"/>
              <w:adjustRightInd w:val="0"/>
              <w:jc w:val="center"/>
              <w:rPr>
                <w:rFonts w:hint="eastAsia" w:ascii="宋体" w:hAnsi="宋体"/>
                <w:highlight w:val="none"/>
              </w:rPr>
            </w:pPr>
            <w:r>
              <w:rPr>
                <w:rFonts w:hint="eastAsia" w:ascii="宋体" w:hAnsi="宋体"/>
                <w:highlight w:val="none"/>
              </w:rPr>
              <w:t>现代工程</w:t>
            </w:r>
            <w:r>
              <w:rPr>
                <w:rFonts w:ascii="宋体" w:hAnsi="宋体"/>
                <w:highlight w:val="none"/>
              </w:rPr>
              <w:t>方法论</w:t>
            </w:r>
          </w:p>
        </w:tc>
        <w:tc>
          <w:tcPr>
            <w:tcW w:w="3112" w:type="dxa"/>
            <w:vAlign w:val="center"/>
          </w:tcPr>
          <w:p>
            <w:pPr>
              <w:autoSpaceDE w:val="0"/>
              <w:autoSpaceDN w:val="0"/>
              <w:adjustRightInd w:val="0"/>
              <w:jc w:val="center"/>
              <w:rPr>
                <w:rFonts w:ascii="宋体" w:hAnsi="宋体"/>
                <w:highlight w:val="none"/>
              </w:rPr>
            </w:pPr>
            <w:r>
              <w:rPr>
                <w:rFonts w:hint="eastAsia" w:ascii="宋体" w:hAnsi="宋体"/>
                <w:highlight w:val="none"/>
              </w:rPr>
              <w:t>智能</w:t>
            </w:r>
            <w:r>
              <w:rPr>
                <w:rFonts w:ascii="宋体" w:hAnsi="宋体"/>
                <w:highlight w:val="none"/>
              </w:rPr>
              <w:t>存算系统架构及应用</w:t>
            </w:r>
          </w:p>
          <w:p>
            <w:pPr>
              <w:autoSpaceDE w:val="0"/>
              <w:autoSpaceDN w:val="0"/>
              <w:adjustRightInd w:val="0"/>
              <w:jc w:val="center"/>
              <w:rPr>
                <w:rFonts w:hint="eastAsia" w:ascii="宋体" w:hAnsi="宋体"/>
                <w:highlight w:val="none"/>
              </w:rPr>
            </w:pPr>
            <w:r>
              <w:rPr>
                <w:rFonts w:hint="eastAsia" w:ascii="宋体" w:hAnsi="宋体"/>
                <w:highlight w:val="none"/>
              </w:rPr>
              <w:t>射频集成电路</w:t>
            </w:r>
            <w:r>
              <w:rPr>
                <w:rFonts w:ascii="宋体" w:hAnsi="宋体"/>
                <w:highlight w:val="none"/>
              </w:rPr>
              <w:t>设计</w:t>
            </w:r>
          </w:p>
          <w:p>
            <w:pPr>
              <w:autoSpaceDE w:val="0"/>
              <w:autoSpaceDN w:val="0"/>
              <w:adjustRightInd w:val="0"/>
              <w:jc w:val="center"/>
              <w:rPr>
                <w:rFonts w:ascii="宋体" w:hAnsi="宋体"/>
                <w:highlight w:val="none"/>
              </w:rPr>
            </w:pPr>
            <w:r>
              <w:rPr>
                <w:rFonts w:hint="eastAsia" w:ascii="宋体" w:hAnsi="宋体"/>
                <w:highlight w:val="none"/>
              </w:rPr>
              <w:t>电源管理</w:t>
            </w:r>
            <w:r>
              <w:rPr>
                <w:rFonts w:ascii="宋体" w:hAnsi="宋体"/>
                <w:highlight w:val="none"/>
              </w:rPr>
              <w:t>集成电路设计</w:t>
            </w:r>
          </w:p>
          <w:p>
            <w:pPr>
              <w:autoSpaceDE w:val="0"/>
              <w:autoSpaceDN w:val="0"/>
              <w:adjustRightInd w:val="0"/>
              <w:jc w:val="center"/>
              <w:rPr>
                <w:rFonts w:hint="eastAsia" w:ascii="宋体" w:hAnsi="宋体"/>
                <w:highlight w:val="none"/>
              </w:rPr>
            </w:pPr>
            <w:r>
              <w:rPr>
                <w:rFonts w:hint="eastAsia" w:ascii="宋体" w:hAnsi="宋体"/>
                <w:highlight w:val="none"/>
              </w:rPr>
              <w:t>微纳机电</w:t>
            </w:r>
            <w:r>
              <w:rPr>
                <w:rFonts w:ascii="宋体" w:hAnsi="宋体"/>
                <w:highlight w:val="none"/>
              </w:rPr>
              <w:t>系统与传感技术</w:t>
            </w:r>
          </w:p>
        </w:tc>
        <w:tc>
          <w:tcPr>
            <w:tcW w:w="3114" w:type="dxa"/>
            <w:vAlign w:val="center"/>
          </w:tcPr>
          <w:p>
            <w:pPr>
              <w:autoSpaceDE w:val="0"/>
              <w:autoSpaceDN w:val="0"/>
              <w:adjustRightInd w:val="0"/>
              <w:jc w:val="center"/>
              <w:rPr>
                <w:rFonts w:hint="eastAsia" w:ascii="宋体" w:hAnsi="宋体"/>
                <w:highlight w:val="none"/>
              </w:rPr>
            </w:pPr>
            <w:r>
              <w:rPr>
                <w:rFonts w:hint="eastAsia" w:ascii="宋体" w:hAnsi="宋体"/>
                <w:highlight w:val="none"/>
              </w:rPr>
              <w:t>微电子</w:t>
            </w:r>
            <w:r>
              <w:rPr>
                <w:rFonts w:ascii="宋体" w:hAnsi="宋体"/>
                <w:highlight w:val="none"/>
              </w:rPr>
              <w:t>工艺创新实践</w:t>
            </w:r>
          </w:p>
          <w:p>
            <w:pPr>
              <w:autoSpaceDE w:val="0"/>
              <w:autoSpaceDN w:val="0"/>
              <w:adjustRightInd w:val="0"/>
              <w:jc w:val="center"/>
              <w:rPr>
                <w:rFonts w:hint="eastAsia" w:ascii="宋体" w:hAnsi="宋体"/>
                <w:highlight w:val="none"/>
              </w:rPr>
            </w:pPr>
            <w:r>
              <w:rPr>
                <w:rFonts w:hint="eastAsia" w:ascii="宋体" w:hAnsi="宋体"/>
                <w:highlight w:val="none"/>
              </w:rPr>
              <w:t>集成电路设计实践</w:t>
            </w:r>
          </w:p>
          <w:p>
            <w:pPr>
              <w:autoSpaceDE w:val="0"/>
              <w:autoSpaceDN w:val="0"/>
              <w:adjustRightInd w:val="0"/>
              <w:jc w:val="center"/>
              <w:rPr>
                <w:rFonts w:hint="eastAsia" w:ascii="宋体" w:hAnsi="宋体"/>
                <w:highlight w:val="none"/>
              </w:rPr>
            </w:pPr>
            <w:r>
              <w:rPr>
                <w:rFonts w:hint="eastAsia" w:ascii="宋体" w:hAnsi="宋体"/>
                <w:highlight w:val="none"/>
              </w:rPr>
              <w:t>毕业设计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4" w:type="dxa"/>
            <w:vAlign w:val="center"/>
          </w:tcPr>
          <w:p>
            <w:pPr>
              <w:autoSpaceDE w:val="0"/>
              <w:autoSpaceDN w:val="0"/>
              <w:adjustRightInd w:val="0"/>
              <w:jc w:val="center"/>
              <w:rPr>
                <w:rFonts w:hint="eastAsia" w:ascii="宋体" w:hAnsi="宋体"/>
                <w:highlight w:val="none"/>
              </w:rPr>
            </w:pPr>
            <w:r>
              <w:rPr>
                <w:rFonts w:hint="eastAsia" w:ascii="宋体" w:hAnsi="宋体"/>
                <w:highlight w:val="none"/>
              </w:rPr>
              <w:t>三年级</w:t>
            </w:r>
          </w:p>
        </w:tc>
        <w:tc>
          <w:tcPr>
            <w:tcW w:w="3112" w:type="dxa"/>
            <w:vAlign w:val="center"/>
          </w:tcPr>
          <w:p>
            <w:pPr>
              <w:autoSpaceDE w:val="0"/>
              <w:autoSpaceDN w:val="0"/>
              <w:adjustRightInd w:val="0"/>
              <w:rPr>
                <w:rFonts w:hint="eastAsia" w:ascii="宋体" w:hAnsi="宋体"/>
                <w:highlight w:val="none"/>
              </w:rPr>
            </w:pPr>
            <w:r>
              <w:rPr>
                <w:rFonts w:hint="eastAsia" w:ascii="宋体" w:hAnsi="宋体"/>
                <w:highlight w:val="none"/>
              </w:rPr>
              <w:t>半导体物理 集成</w:t>
            </w:r>
            <w:r>
              <w:rPr>
                <w:rFonts w:ascii="宋体" w:hAnsi="宋体"/>
                <w:highlight w:val="none"/>
              </w:rPr>
              <w:t>电</w:t>
            </w:r>
            <w:r>
              <w:rPr>
                <w:rFonts w:hint="eastAsia" w:ascii="宋体" w:hAnsi="宋体"/>
                <w:highlight w:val="none"/>
              </w:rPr>
              <w:t>路</w:t>
            </w:r>
            <w:r>
              <w:rPr>
                <w:rFonts w:ascii="宋体" w:hAnsi="宋体"/>
                <w:highlight w:val="none"/>
              </w:rPr>
              <w:t>制造工艺</w:t>
            </w:r>
          </w:p>
          <w:p>
            <w:pPr>
              <w:autoSpaceDE w:val="0"/>
              <w:autoSpaceDN w:val="0"/>
              <w:adjustRightInd w:val="0"/>
              <w:rPr>
                <w:rFonts w:hint="eastAsia" w:ascii="宋体" w:hAnsi="宋体"/>
                <w:highlight w:val="none"/>
              </w:rPr>
            </w:pPr>
            <w:r>
              <w:rPr>
                <w:rFonts w:hint="eastAsia" w:ascii="宋体" w:hAnsi="宋体"/>
                <w:highlight w:val="none"/>
              </w:rPr>
              <w:t>半导体</w:t>
            </w:r>
            <w:r>
              <w:rPr>
                <w:rFonts w:ascii="宋体" w:hAnsi="宋体"/>
                <w:highlight w:val="none"/>
              </w:rPr>
              <w:t>器件</w:t>
            </w:r>
            <w:r>
              <w:rPr>
                <w:rFonts w:hint="eastAsia" w:ascii="宋体" w:hAnsi="宋体"/>
                <w:highlight w:val="none"/>
              </w:rPr>
              <w:t xml:space="preserve">   电磁场与电磁波</w:t>
            </w:r>
          </w:p>
        </w:tc>
        <w:tc>
          <w:tcPr>
            <w:tcW w:w="3112" w:type="dxa"/>
            <w:vAlign w:val="center"/>
          </w:tcPr>
          <w:p>
            <w:pPr>
              <w:autoSpaceDE w:val="0"/>
              <w:autoSpaceDN w:val="0"/>
              <w:adjustRightInd w:val="0"/>
              <w:jc w:val="center"/>
              <w:rPr>
                <w:rFonts w:hint="eastAsia" w:ascii="宋体" w:hAnsi="宋体"/>
                <w:highlight w:val="none"/>
              </w:rPr>
            </w:pPr>
            <w:r>
              <w:rPr>
                <w:rFonts w:hint="eastAsia" w:ascii="宋体" w:hAnsi="宋体"/>
                <w:highlight w:val="none"/>
              </w:rPr>
              <w:t>模拟</w:t>
            </w:r>
            <w:r>
              <w:rPr>
                <w:rFonts w:ascii="宋体" w:hAnsi="宋体"/>
                <w:highlight w:val="none"/>
              </w:rPr>
              <w:t>集成电路原理与设计</w:t>
            </w:r>
          </w:p>
          <w:p>
            <w:pPr>
              <w:autoSpaceDE w:val="0"/>
              <w:autoSpaceDN w:val="0"/>
              <w:adjustRightInd w:val="0"/>
              <w:jc w:val="center"/>
              <w:rPr>
                <w:rFonts w:hint="eastAsia" w:ascii="宋体" w:hAnsi="宋体"/>
                <w:highlight w:val="none"/>
              </w:rPr>
            </w:pPr>
            <w:r>
              <w:rPr>
                <w:rFonts w:hint="eastAsia" w:ascii="宋体" w:hAnsi="宋体"/>
                <w:highlight w:val="none"/>
              </w:rPr>
              <w:t>数字</w:t>
            </w:r>
            <w:r>
              <w:rPr>
                <w:rFonts w:ascii="宋体" w:hAnsi="宋体"/>
                <w:highlight w:val="none"/>
              </w:rPr>
              <w:t>集成电路</w:t>
            </w:r>
            <w:r>
              <w:rPr>
                <w:rFonts w:hint="eastAsia" w:ascii="宋体" w:hAnsi="宋体"/>
                <w:highlight w:val="none"/>
              </w:rPr>
              <w:t>原理与设计</w:t>
            </w:r>
          </w:p>
        </w:tc>
        <w:tc>
          <w:tcPr>
            <w:tcW w:w="3114" w:type="dxa"/>
            <w:vAlign w:val="center"/>
          </w:tcPr>
          <w:p>
            <w:pPr>
              <w:autoSpaceDE w:val="0"/>
              <w:autoSpaceDN w:val="0"/>
              <w:adjustRightInd w:val="0"/>
              <w:jc w:val="center"/>
              <w:rPr>
                <w:rFonts w:hint="eastAsia" w:ascii="宋体" w:hAnsi="宋体"/>
                <w:highlight w:val="none"/>
              </w:rPr>
            </w:pPr>
            <w:r>
              <w:rPr>
                <w:rFonts w:hint="eastAsia" w:ascii="宋体" w:hAnsi="宋体"/>
                <w:highlight w:val="none"/>
              </w:rPr>
              <w:t>集成电路</w:t>
            </w:r>
            <w:r>
              <w:rPr>
                <w:rFonts w:ascii="宋体" w:hAnsi="宋体"/>
                <w:highlight w:val="none"/>
              </w:rPr>
              <w:t>技术前沿</w:t>
            </w:r>
          </w:p>
          <w:p>
            <w:pPr>
              <w:autoSpaceDE w:val="0"/>
              <w:autoSpaceDN w:val="0"/>
              <w:adjustRightInd w:val="0"/>
              <w:jc w:val="center"/>
              <w:rPr>
                <w:rFonts w:hint="eastAsia" w:ascii="宋体" w:hAnsi="宋体"/>
                <w:highlight w:val="none"/>
              </w:rPr>
            </w:pPr>
            <w:r>
              <w:rPr>
                <w:rFonts w:hint="eastAsia" w:ascii="宋体" w:hAnsi="宋体"/>
                <w:highlight w:val="none"/>
              </w:rPr>
              <w:t>新型</w:t>
            </w:r>
            <w:r>
              <w:rPr>
                <w:rFonts w:ascii="宋体" w:hAnsi="宋体"/>
                <w:highlight w:val="none"/>
              </w:rPr>
              <w:t>光电材料与器件</w:t>
            </w:r>
          </w:p>
          <w:p>
            <w:pPr>
              <w:autoSpaceDE w:val="0"/>
              <w:autoSpaceDN w:val="0"/>
              <w:adjustRightInd w:val="0"/>
              <w:jc w:val="center"/>
              <w:rPr>
                <w:rFonts w:ascii="宋体" w:hAnsi="宋体"/>
                <w:highlight w:val="none"/>
              </w:rPr>
            </w:pPr>
            <w:r>
              <w:rPr>
                <w:rFonts w:hint="eastAsia" w:ascii="宋体" w:hAnsi="宋体"/>
                <w:highlight w:val="none"/>
              </w:rPr>
              <w:t>深度学习</w:t>
            </w:r>
            <w:r>
              <w:rPr>
                <w:rFonts w:ascii="宋体" w:hAnsi="宋体"/>
                <w:highlight w:val="none"/>
              </w:rPr>
              <w:t>与计算机视觉</w:t>
            </w:r>
          </w:p>
          <w:p>
            <w:pPr>
              <w:autoSpaceDE w:val="0"/>
              <w:autoSpaceDN w:val="0"/>
              <w:adjustRightInd w:val="0"/>
              <w:jc w:val="center"/>
              <w:rPr>
                <w:rFonts w:hint="eastAsia" w:ascii="宋体" w:hAnsi="宋体"/>
                <w:highlight w:val="none"/>
              </w:rPr>
            </w:pPr>
            <w:r>
              <w:rPr>
                <w:rFonts w:hint="eastAsia" w:ascii="宋体" w:hAnsi="宋体"/>
                <w:highlight w:val="none"/>
              </w:rPr>
              <w:t>机器学习与深度学习的多维应用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4" w:type="dxa"/>
            <w:vAlign w:val="center"/>
          </w:tcPr>
          <w:p>
            <w:pPr>
              <w:autoSpaceDE w:val="0"/>
              <w:autoSpaceDN w:val="0"/>
              <w:adjustRightInd w:val="0"/>
              <w:jc w:val="center"/>
              <w:rPr>
                <w:rFonts w:hint="eastAsia" w:ascii="宋体" w:hAnsi="宋体"/>
                <w:highlight w:val="none"/>
              </w:rPr>
            </w:pPr>
            <w:r>
              <w:rPr>
                <w:rFonts w:hint="eastAsia" w:ascii="宋体" w:hAnsi="宋体"/>
                <w:highlight w:val="none"/>
              </w:rPr>
              <w:t>二年级</w:t>
            </w:r>
          </w:p>
        </w:tc>
        <w:tc>
          <w:tcPr>
            <w:tcW w:w="3112" w:type="dxa"/>
            <w:vAlign w:val="center"/>
          </w:tcPr>
          <w:p>
            <w:pPr>
              <w:autoSpaceDE w:val="0"/>
              <w:autoSpaceDN w:val="0"/>
              <w:adjustRightInd w:val="0"/>
              <w:ind w:firstLine="210" w:firstLineChars="100"/>
              <w:rPr>
                <w:rFonts w:hint="eastAsia" w:ascii="宋体" w:hAnsi="宋体"/>
                <w:highlight w:val="none"/>
              </w:rPr>
            </w:pPr>
            <w:r>
              <w:rPr>
                <w:rFonts w:hint="eastAsia" w:ascii="宋体" w:hAnsi="宋体"/>
                <w:highlight w:val="none"/>
              </w:rPr>
              <w:t>模拟电子技术  信号与系统</w:t>
            </w:r>
          </w:p>
          <w:p>
            <w:pPr>
              <w:autoSpaceDE w:val="0"/>
              <w:autoSpaceDN w:val="0"/>
              <w:adjustRightInd w:val="0"/>
              <w:ind w:firstLine="210" w:firstLineChars="100"/>
              <w:rPr>
                <w:rFonts w:hint="eastAsia" w:ascii="宋体" w:hAnsi="宋体"/>
                <w:highlight w:val="none"/>
              </w:rPr>
            </w:pPr>
            <w:r>
              <w:rPr>
                <w:rFonts w:hint="eastAsia" w:ascii="宋体" w:hAnsi="宋体"/>
                <w:highlight w:val="none"/>
              </w:rPr>
              <w:t>数字电子技术 射频电路基础</w:t>
            </w:r>
          </w:p>
        </w:tc>
        <w:tc>
          <w:tcPr>
            <w:tcW w:w="3112" w:type="dxa"/>
            <w:vAlign w:val="center"/>
          </w:tcPr>
          <w:p>
            <w:pPr>
              <w:autoSpaceDE w:val="0"/>
              <w:autoSpaceDN w:val="0"/>
              <w:adjustRightInd w:val="0"/>
              <w:jc w:val="center"/>
              <w:rPr>
                <w:rFonts w:hint="eastAsia" w:ascii="宋体" w:hAnsi="宋体"/>
                <w:highlight w:val="none"/>
              </w:rPr>
            </w:pPr>
            <w:r>
              <w:rPr>
                <w:rFonts w:hint="eastAsia" w:ascii="宋体" w:hAnsi="宋体"/>
                <w:highlight w:val="none"/>
              </w:rPr>
              <w:t>V</w:t>
            </w:r>
            <w:r>
              <w:rPr>
                <w:rFonts w:ascii="宋体" w:hAnsi="宋体"/>
                <w:highlight w:val="none"/>
              </w:rPr>
              <w:t>erilog</w:t>
            </w:r>
            <w:r>
              <w:rPr>
                <w:rFonts w:hint="eastAsia" w:ascii="宋体" w:hAnsi="宋体"/>
                <w:highlight w:val="none"/>
              </w:rPr>
              <w:t>与FPGA设计</w:t>
            </w:r>
          </w:p>
          <w:p>
            <w:pPr>
              <w:autoSpaceDE w:val="0"/>
              <w:autoSpaceDN w:val="0"/>
              <w:adjustRightInd w:val="0"/>
              <w:jc w:val="center"/>
              <w:rPr>
                <w:rFonts w:hint="eastAsia" w:ascii="宋体" w:hAnsi="宋体" w:eastAsia="宋体"/>
                <w:highlight w:val="none"/>
                <w:lang w:eastAsia="zh-CN"/>
              </w:rPr>
            </w:pPr>
            <w:r>
              <w:rPr>
                <w:rFonts w:hint="eastAsia" w:ascii="宋体" w:hAnsi="宋体"/>
                <w:highlight w:val="none"/>
              </w:rPr>
              <w:t>计算机</w:t>
            </w:r>
            <w:r>
              <w:rPr>
                <w:rFonts w:hint="eastAsia" w:ascii="宋体" w:hAnsi="宋体"/>
                <w:highlight w:val="none"/>
                <w:lang w:val="en-US" w:eastAsia="zh-CN"/>
              </w:rPr>
              <w:t>组成与体系结构</w:t>
            </w:r>
          </w:p>
        </w:tc>
        <w:tc>
          <w:tcPr>
            <w:tcW w:w="3114" w:type="dxa"/>
            <w:vAlign w:val="center"/>
          </w:tcPr>
          <w:p>
            <w:pPr>
              <w:autoSpaceDE w:val="0"/>
              <w:autoSpaceDN w:val="0"/>
              <w:adjustRightInd w:val="0"/>
              <w:jc w:val="center"/>
              <w:rPr>
                <w:rFonts w:hint="eastAsia" w:ascii="宋体" w:hAnsi="宋体"/>
                <w:highlight w:val="none"/>
              </w:rPr>
            </w:pPr>
            <w:r>
              <w:rPr>
                <w:rFonts w:hint="eastAsia" w:ascii="宋体" w:hAnsi="宋体"/>
                <w:highlight w:val="none"/>
              </w:rPr>
              <w:t>电子</w:t>
            </w:r>
            <w:r>
              <w:rPr>
                <w:rFonts w:ascii="宋体" w:hAnsi="宋体"/>
                <w:highlight w:val="none"/>
              </w:rPr>
              <w:t>系统综合设计</w:t>
            </w:r>
          </w:p>
          <w:p>
            <w:pPr>
              <w:autoSpaceDE w:val="0"/>
              <w:autoSpaceDN w:val="0"/>
              <w:adjustRightInd w:val="0"/>
              <w:jc w:val="center"/>
              <w:rPr>
                <w:rFonts w:hint="eastAsia" w:ascii="宋体" w:hAnsi="宋体"/>
                <w:highlight w:val="none"/>
              </w:rPr>
            </w:pPr>
            <w:r>
              <w:rPr>
                <w:rFonts w:hint="eastAsia" w:ascii="宋体" w:hAnsi="宋体"/>
                <w:highlight w:val="none"/>
              </w:rPr>
              <w:t>自动控制</w:t>
            </w:r>
            <w:r>
              <w:rPr>
                <w:rFonts w:ascii="宋体" w:hAnsi="宋体"/>
                <w:highlight w:val="none"/>
              </w:rPr>
              <w:t>原理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4" w:type="dxa"/>
            <w:vAlign w:val="center"/>
          </w:tcPr>
          <w:p>
            <w:pPr>
              <w:autoSpaceDE w:val="0"/>
              <w:autoSpaceDN w:val="0"/>
              <w:adjustRightInd w:val="0"/>
              <w:jc w:val="center"/>
              <w:rPr>
                <w:rFonts w:hint="eastAsia" w:ascii="宋体" w:hAnsi="宋体"/>
                <w:highlight w:val="none"/>
              </w:rPr>
            </w:pPr>
            <w:r>
              <w:rPr>
                <w:rFonts w:hint="eastAsia" w:ascii="宋体" w:hAnsi="宋体"/>
                <w:highlight w:val="none"/>
              </w:rPr>
              <w:t>一年级</w:t>
            </w:r>
          </w:p>
        </w:tc>
        <w:tc>
          <w:tcPr>
            <w:tcW w:w="3112" w:type="dxa"/>
            <w:vAlign w:val="center"/>
          </w:tcPr>
          <w:p>
            <w:pPr>
              <w:autoSpaceDE w:val="0"/>
              <w:autoSpaceDN w:val="0"/>
              <w:adjustRightInd w:val="0"/>
              <w:jc w:val="center"/>
              <w:rPr>
                <w:rFonts w:hint="eastAsia" w:ascii="宋体" w:hAnsi="宋体"/>
                <w:highlight w:val="none"/>
              </w:rPr>
            </w:pPr>
            <w:r>
              <w:rPr>
                <w:rFonts w:hint="eastAsia" w:ascii="宋体" w:hAnsi="宋体"/>
                <w:highlight w:val="none"/>
              </w:rPr>
              <w:t>物理基础</w:t>
            </w:r>
            <w:r>
              <w:rPr>
                <w:rFonts w:ascii="宋体" w:hAnsi="宋体"/>
                <w:highlight w:val="none"/>
              </w:rPr>
              <w:t>课程</w:t>
            </w:r>
          </w:p>
          <w:p>
            <w:pPr>
              <w:autoSpaceDE w:val="0"/>
              <w:autoSpaceDN w:val="0"/>
              <w:adjustRightInd w:val="0"/>
              <w:jc w:val="center"/>
              <w:rPr>
                <w:rFonts w:hint="eastAsia" w:ascii="宋体" w:hAnsi="宋体"/>
                <w:highlight w:val="none"/>
              </w:rPr>
            </w:pPr>
            <w:r>
              <w:rPr>
                <w:rFonts w:hint="eastAsia" w:ascii="宋体" w:hAnsi="宋体"/>
                <w:highlight w:val="none"/>
              </w:rPr>
              <w:t>数字基础</w:t>
            </w:r>
            <w:r>
              <w:rPr>
                <w:rFonts w:ascii="宋体" w:hAnsi="宋体"/>
                <w:highlight w:val="none"/>
              </w:rPr>
              <w:t>课程</w:t>
            </w:r>
          </w:p>
          <w:p>
            <w:pPr>
              <w:autoSpaceDE w:val="0"/>
              <w:autoSpaceDN w:val="0"/>
              <w:adjustRightInd w:val="0"/>
              <w:jc w:val="center"/>
              <w:rPr>
                <w:rFonts w:hint="eastAsia" w:ascii="宋体" w:hAnsi="宋体" w:eastAsia="宋体"/>
                <w:highlight w:val="none"/>
                <w:lang w:val="en-US" w:eastAsia="zh-CN"/>
              </w:rPr>
            </w:pPr>
            <w:r>
              <w:rPr>
                <w:rFonts w:hint="eastAsia" w:ascii="宋体" w:hAnsi="宋体"/>
                <w:highlight w:val="none"/>
              </w:rPr>
              <w:t>电路</w:t>
            </w:r>
          </w:p>
        </w:tc>
        <w:tc>
          <w:tcPr>
            <w:tcW w:w="3112" w:type="dxa"/>
            <w:vAlign w:val="center"/>
          </w:tcPr>
          <w:p>
            <w:pPr>
              <w:autoSpaceDE w:val="0"/>
              <w:autoSpaceDN w:val="0"/>
              <w:adjustRightInd w:val="0"/>
              <w:jc w:val="center"/>
              <w:rPr>
                <w:rFonts w:hint="eastAsia" w:ascii="宋体" w:hAnsi="宋体"/>
                <w:highlight w:val="none"/>
              </w:rPr>
            </w:pPr>
            <w:r>
              <w:rPr>
                <w:rFonts w:hint="eastAsia" w:ascii="宋体" w:hAnsi="宋体"/>
                <w:highlight w:val="none"/>
              </w:rPr>
              <w:t>高级</w:t>
            </w:r>
            <w:r>
              <w:rPr>
                <w:rFonts w:ascii="宋体" w:hAnsi="宋体"/>
                <w:highlight w:val="none"/>
              </w:rPr>
              <w:t>程序语言</w:t>
            </w:r>
          </w:p>
          <w:p>
            <w:pPr>
              <w:autoSpaceDE w:val="0"/>
              <w:autoSpaceDN w:val="0"/>
              <w:adjustRightInd w:val="0"/>
              <w:jc w:val="center"/>
              <w:rPr>
                <w:rFonts w:hint="eastAsia" w:ascii="宋体" w:hAnsi="宋体"/>
                <w:highlight w:val="none"/>
              </w:rPr>
            </w:pPr>
            <w:r>
              <w:rPr>
                <w:rFonts w:hint="eastAsia" w:ascii="宋体" w:hAnsi="宋体"/>
                <w:highlight w:val="none"/>
                <w:lang w:val="en-US" w:eastAsia="zh-CN"/>
              </w:rPr>
              <w:t>人工智能导论</w:t>
            </w:r>
          </w:p>
          <w:p>
            <w:pPr>
              <w:autoSpaceDE w:val="0"/>
              <w:autoSpaceDN w:val="0"/>
              <w:adjustRightInd w:val="0"/>
              <w:jc w:val="center"/>
              <w:rPr>
                <w:rFonts w:hint="eastAsia" w:ascii="宋体" w:hAnsi="宋体"/>
                <w:highlight w:val="none"/>
              </w:rPr>
            </w:pPr>
            <w:r>
              <w:rPr>
                <w:rFonts w:hint="eastAsia" w:ascii="宋体" w:hAnsi="宋体"/>
                <w:highlight w:val="none"/>
              </w:rPr>
              <w:t>电子技术</w:t>
            </w:r>
            <w:r>
              <w:rPr>
                <w:rFonts w:ascii="宋体" w:hAnsi="宋体"/>
                <w:highlight w:val="none"/>
              </w:rPr>
              <w:t>工程素质</w:t>
            </w:r>
            <w:r>
              <w:rPr>
                <w:rFonts w:hint="eastAsia" w:ascii="宋体" w:hAnsi="宋体"/>
                <w:highlight w:val="none"/>
              </w:rPr>
              <w:t>实践</w:t>
            </w:r>
          </w:p>
          <w:p>
            <w:pPr>
              <w:autoSpaceDE w:val="0"/>
              <w:autoSpaceDN w:val="0"/>
              <w:adjustRightInd w:val="0"/>
              <w:jc w:val="center"/>
              <w:rPr>
                <w:rFonts w:hint="default" w:ascii="宋体" w:hAnsi="宋体" w:eastAsia="宋体"/>
                <w:highlight w:val="none"/>
                <w:lang w:val="en-US" w:eastAsia="zh-CN"/>
              </w:rPr>
            </w:pPr>
            <w:r>
              <w:rPr>
                <w:rFonts w:hint="eastAsia" w:ascii="宋体" w:hAnsi="宋体"/>
                <w:highlight w:val="none"/>
              </w:rPr>
              <w:t>基础课</w:t>
            </w:r>
          </w:p>
        </w:tc>
        <w:tc>
          <w:tcPr>
            <w:tcW w:w="3114" w:type="dxa"/>
            <w:vAlign w:val="center"/>
          </w:tcPr>
          <w:p>
            <w:pPr>
              <w:autoSpaceDE w:val="0"/>
              <w:autoSpaceDN w:val="0"/>
              <w:adjustRightInd w:val="0"/>
              <w:jc w:val="center"/>
              <w:rPr>
                <w:rFonts w:hint="eastAsia" w:ascii="宋体" w:hAnsi="宋体"/>
                <w:highlight w:val="none"/>
              </w:rPr>
            </w:pPr>
            <w:r>
              <w:rPr>
                <w:rFonts w:hint="eastAsia" w:ascii="宋体" w:hAnsi="宋体"/>
                <w:highlight w:val="none"/>
              </w:rPr>
              <w:t>工程</w:t>
            </w:r>
            <w:r>
              <w:rPr>
                <w:rFonts w:ascii="宋体" w:hAnsi="宋体"/>
                <w:highlight w:val="none"/>
              </w:rPr>
              <w:t>导论</w:t>
            </w:r>
          </w:p>
          <w:p>
            <w:pPr>
              <w:autoSpaceDE w:val="0"/>
              <w:autoSpaceDN w:val="0"/>
              <w:adjustRightInd w:val="0"/>
              <w:jc w:val="center"/>
              <w:rPr>
                <w:rFonts w:hint="eastAsia" w:ascii="宋体" w:hAnsi="宋体"/>
                <w:highlight w:val="none"/>
              </w:rPr>
            </w:pPr>
            <w:r>
              <w:rPr>
                <w:rFonts w:hint="eastAsia" w:ascii="宋体" w:hAnsi="宋体"/>
                <w:highlight w:val="none"/>
              </w:rPr>
              <w:t>工程导论</w:t>
            </w:r>
            <w:r>
              <w:rPr>
                <w:rFonts w:ascii="宋体" w:hAnsi="宋体"/>
                <w:highlight w:val="none"/>
              </w:rPr>
              <w:t>实践</w:t>
            </w:r>
          </w:p>
          <w:p>
            <w:pPr>
              <w:autoSpaceDE w:val="0"/>
              <w:autoSpaceDN w:val="0"/>
              <w:adjustRightInd w:val="0"/>
              <w:jc w:val="center"/>
              <w:rPr>
                <w:rFonts w:hint="eastAsia" w:ascii="宋体" w:hAnsi="宋体"/>
                <w:highlight w:val="none"/>
              </w:rPr>
            </w:pPr>
            <w:r>
              <w:rPr>
                <w:rFonts w:hint="eastAsia" w:ascii="宋体" w:hAnsi="宋体"/>
                <w:highlight w:val="none"/>
              </w:rPr>
              <w:t>摩尔时代</w:t>
            </w:r>
            <w:r>
              <w:rPr>
                <w:rFonts w:ascii="宋体" w:hAnsi="宋体"/>
                <w:highlight w:val="none"/>
              </w:rPr>
              <w:t>与</w:t>
            </w:r>
            <w:r>
              <w:rPr>
                <w:rFonts w:hint="eastAsia" w:ascii="宋体" w:hAnsi="宋体"/>
                <w:highlight w:val="none"/>
              </w:rPr>
              <w:t>后</w:t>
            </w:r>
            <w:r>
              <w:rPr>
                <w:rFonts w:ascii="宋体" w:hAnsi="宋体"/>
                <w:highlight w:val="none"/>
              </w:rPr>
              <w:t>摩尔时代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20" w:hRule="atLeast"/>
        </w:trPr>
        <w:tc>
          <w:tcPr>
            <w:tcW w:w="994" w:type="dxa"/>
            <w:vAlign w:val="center"/>
          </w:tcPr>
          <w:p>
            <w:pPr>
              <w:autoSpaceDE w:val="0"/>
              <w:autoSpaceDN w:val="0"/>
              <w:adjustRightInd w:val="0"/>
              <w:jc w:val="center"/>
              <w:rPr>
                <w:rFonts w:hint="eastAsia" w:ascii="宋体" w:hAnsi="宋体"/>
                <w:highlight w:val="none"/>
              </w:rPr>
            </w:pPr>
          </w:p>
        </w:tc>
        <w:tc>
          <w:tcPr>
            <w:tcW w:w="3112" w:type="dxa"/>
            <w:vAlign w:val="center"/>
          </w:tcPr>
          <w:p>
            <w:pPr>
              <w:autoSpaceDE w:val="0"/>
              <w:autoSpaceDN w:val="0"/>
              <w:adjustRightInd w:val="0"/>
              <w:jc w:val="center"/>
              <w:rPr>
                <w:rFonts w:hint="eastAsia" w:ascii="宋体" w:hAnsi="宋体"/>
                <w:highlight w:val="none"/>
              </w:rPr>
            </w:pPr>
            <w:r>
              <w:rPr>
                <w:rFonts w:hint="eastAsia" w:ascii="宋体" w:hAnsi="宋体"/>
                <w:highlight w:val="none"/>
              </w:rPr>
              <w:t>专业</w:t>
            </w:r>
            <w:r>
              <w:rPr>
                <w:rFonts w:ascii="宋体" w:hAnsi="宋体"/>
                <w:highlight w:val="none"/>
              </w:rPr>
              <w:t>理论课程</w:t>
            </w:r>
          </w:p>
        </w:tc>
        <w:tc>
          <w:tcPr>
            <w:tcW w:w="3112" w:type="dxa"/>
            <w:vAlign w:val="center"/>
          </w:tcPr>
          <w:p>
            <w:pPr>
              <w:autoSpaceDE w:val="0"/>
              <w:autoSpaceDN w:val="0"/>
              <w:adjustRightInd w:val="0"/>
              <w:jc w:val="center"/>
              <w:rPr>
                <w:rFonts w:hint="eastAsia" w:ascii="宋体" w:hAnsi="宋体"/>
                <w:highlight w:val="none"/>
              </w:rPr>
            </w:pPr>
            <w:r>
              <w:rPr>
                <w:rFonts w:hint="eastAsia" w:ascii="宋体" w:hAnsi="宋体"/>
                <w:highlight w:val="none"/>
              </w:rPr>
              <w:t>工程性</w:t>
            </w:r>
            <w:r>
              <w:rPr>
                <w:rFonts w:ascii="宋体" w:hAnsi="宋体"/>
                <w:highlight w:val="none"/>
              </w:rPr>
              <w:t>课程</w:t>
            </w:r>
          </w:p>
        </w:tc>
        <w:tc>
          <w:tcPr>
            <w:tcW w:w="3114" w:type="dxa"/>
            <w:vAlign w:val="center"/>
          </w:tcPr>
          <w:p>
            <w:pPr>
              <w:autoSpaceDE w:val="0"/>
              <w:autoSpaceDN w:val="0"/>
              <w:adjustRightInd w:val="0"/>
              <w:jc w:val="center"/>
              <w:rPr>
                <w:rFonts w:hint="eastAsia" w:ascii="宋体" w:hAnsi="宋体"/>
                <w:highlight w:val="none"/>
              </w:rPr>
            </w:pPr>
            <w:r>
              <w:rPr>
                <w:rFonts w:hint="eastAsia" w:ascii="宋体" w:hAnsi="宋体"/>
                <w:highlight w:val="none"/>
              </w:rPr>
              <w:t>贯通式</w:t>
            </w:r>
            <w:r>
              <w:rPr>
                <w:rFonts w:ascii="宋体" w:hAnsi="宋体"/>
                <w:highlight w:val="none"/>
              </w:rPr>
              <w:t>课程</w:t>
            </w:r>
          </w:p>
        </w:tc>
      </w:tr>
    </w:tbl>
    <w:p>
      <w:pPr>
        <w:autoSpaceDE w:val="0"/>
        <w:autoSpaceDN w:val="0"/>
        <w:adjustRightInd w:val="0"/>
        <w:jc w:val="left"/>
        <w:rPr>
          <w:rFonts w:hint="eastAsia" w:ascii="宋体" w:hAnsi="宋体"/>
          <w:highlight w:val="none"/>
        </w:rPr>
      </w:pPr>
    </w:p>
    <w:p>
      <w:pPr>
        <w:spacing w:before="468" w:beforeLines="150" w:after="156" w:afterLines="50"/>
        <w:rPr>
          <w:rFonts w:hint="eastAsia" w:ascii="微软雅黑" w:hAnsi="微软雅黑" w:eastAsia="微软雅黑"/>
          <w:b/>
          <w:bCs/>
          <w:sz w:val="28"/>
          <w:szCs w:val="28"/>
          <w:highlight w:val="none"/>
        </w:rPr>
      </w:pPr>
      <w:r>
        <w:rPr>
          <w:rFonts w:hint="eastAsia" w:ascii="微软雅黑" w:hAnsi="微软雅黑" w:eastAsia="微软雅黑"/>
          <w:b/>
          <w:bCs/>
          <w:sz w:val="28"/>
          <w:szCs w:val="28"/>
          <w:highlight w:val="none"/>
        </w:rPr>
        <w:t>专业简介</w:t>
      </w:r>
    </w:p>
    <w:p>
      <w:pPr>
        <w:widowControl/>
        <w:snapToGrid w:val="0"/>
        <w:spacing w:line="360" w:lineRule="auto"/>
        <w:jc w:val="left"/>
        <w:rPr>
          <w:rFonts w:hint="eastAsia" w:ascii="宋体" w:hAnsi="宋体"/>
          <w:sz w:val="24"/>
          <w:highlight w:val="none"/>
        </w:rPr>
      </w:pPr>
      <w:r>
        <w:rPr>
          <w:rFonts w:hint="eastAsia" w:ascii="宋体" w:hAnsi="宋体" w:cs="宋体"/>
          <w:b/>
          <w:bCs/>
          <w:sz w:val="24"/>
          <w:szCs w:val="24"/>
          <w:highlight w:val="none"/>
        </w:rPr>
        <w:t>1.微电子科学与工程</w:t>
      </w:r>
    </w:p>
    <w:p>
      <w:pPr>
        <w:widowControl/>
        <w:snapToGrid w:val="0"/>
        <w:spacing w:line="360" w:lineRule="auto"/>
        <w:ind w:firstLine="435"/>
        <w:jc w:val="left"/>
        <w:rPr>
          <w:rFonts w:hint="eastAsia" w:ascii="宋体" w:hAnsi="宋体"/>
          <w:sz w:val="24"/>
          <w:highlight w:val="none"/>
        </w:rPr>
      </w:pPr>
      <w:r>
        <w:rPr>
          <w:rFonts w:hint="eastAsia" w:ascii="宋体" w:hAnsi="宋体"/>
          <w:sz w:val="24"/>
          <w:highlight w:val="none"/>
        </w:rPr>
        <w:t>面向国家集成电路发展历史机遇和粤港澳大湾区电子信息技术发展需求，以半导体物理与器件为基础，</w:t>
      </w:r>
      <w:r>
        <w:rPr>
          <w:rFonts w:hint="eastAsia" w:ascii="宋体" w:hAnsi="宋体" w:cs="宋体"/>
          <w:color w:val="000000"/>
          <w:sz w:val="24"/>
          <w:szCs w:val="24"/>
          <w:highlight w:val="none"/>
        </w:rPr>
        <w:t>以超大规模集成电路制造工艺为核心，覆盖集成电路“设计-制造-封测-整机”全链条，</w:t>
      </w:r>
      <w:r>
        <w:rPr>
          <w:rFonts w:hint="eastAsia" w:ascii="宋体" w:hAnsi="宋体"/>
          <w:sz w:val="24"/>
          <w:highlight w:val="none"/>
        </w:rPr>
        <w:t>培养德智体美劳全面发展，具有家国情怀和高度社会责任感，具有扎实的基础理论和系统的专门知识，具备宽阔的国际视野、深厚的文化底蕴和优良的综合素质，胜任国际化合作与竞争的复合型微电子领域精英人才。</w:t>
      </w:r>
    </w:p>
    <w:p>
      <w:pPr>
        <w:widowControl/>
        <w:snapToGrid w:val="0"/>
        <w:spacing w:before="156" w:beforeLines="50" w:line="360" w:lineRule="auto"/>
        <w:jc w:val="left"/>
        <w:rPr>
          <w:rFonts w:hint="eastAsia" w:ascii="宋体" w:hAnsi="宋体" w:cs="宋体"/>
          <w:b/>
          <w:bCs/>
          <w:sz w:val="24"/>
          <w:szCs w:val="24"/>
          <w:highlight w:val="none"/>
        </w:rPr>
      </w:pPr>
      <w:r>
        <w:rPr>
          <w:rFonts w:hint="eastAsia" w:ascii="宋体" w:hAnsi="宋体" w:cs="宋体"/>
          <w:b/>
          <w:bCs/>
          <w:sz w:val="24"/>
          <w:szCs w:val="24"/>
          <w:highlight w:val="none"/>
        </w:rPr>
        <w:t>2.集成电路设计与集成系统</w:t>
      </w:r>
    </w:p>
    <w:p>
      <w:pPr>
        <w:widowControl/>
        <w:snapToGrid w:val="0"/>
        <w:spacing w:line="360" w:lineRule="auto"/>
        <w:ind w:firstLine="435"/>
        <w:jc w:val="left"/>
        <w:rPr>
          <w:rFonts w:hint="eastAsia" w:ascii="宋体" w:hAnsi="宋体" w:cs="宋体"/>
          <w:color w:val="000000"/>
          <w:sz w:val="24"/>
          <w:szCs w:val="24"/>
          <w:highlight w:val="none"/>
        </w:rPr>
      </w:pPr>
      <w:r>
        <w:rPr>
          <w:rFonts w:hint="eastAsia" w:ascii="宋体" w:hAnsi="宋体" w:cs="宋体"/>
          <w:color w:val="000000"/>
          <w:sz w:val="24"/>
          <w:szCs w:val="24"/>
          <w:highlight w:val="none"/>
        </w:rPr>
        <w:t>面向国家集成电路发展历史机遇和粤港澳大湾区集成电路技术发展需求，以半导体器件为基础，以超大规模集成电路设计为核心，以射频毫米波芯片与系统、人工智能算法与系统研究、嵌入式系统开发为方向，培养</w:t>
      </w:r>
      <w:r>
        <w:rPr>
          <w:rFonts w:hint="eastAsia" w:ascii="宋体" w:hAnsi="宋体"/>
          <w:sz w:val="24"/>
          <w:highlight w:val="none"/>
        </w:rPr>
        <w:t>德智体美劳全面发展</w:t>
      </w:r>
      <w:r>
        <w:rPr>
          <w:rFonts w:hint="eastAsia" w:ascii="宋体" w:hAnsi="宋体" w:cs="宋体"/>
          <w:color w:val="000000"/>
          <w:sz w:val="24"/>
          <w:szCs w:val="24"/>
          <w:highlight w:val="none"/>
        </w:rPr>
        <w:t>，具有家国情怀和高度社会责任感，具有扎实的基础理论和系统的专门知识，具备宽阔的国际视野、深厚的文化底蕴和优良的综合素质，胜任国际化合作与竞争的复合型集成电路设计与集成系统精英人才。</w:t>
      </w:r>
    </w:p>
    <w:p>
      <w:pPr>
        <w:widowControl/>
        <w:snapToGrid w:val="0"/>
        <w:spacing w:line="360" w:lineRule="auto"/>
        <w:ind w:firstLine="435"/>
        <w:jc w:val="left"/>
        <w:rPr>
          <w:rFonts w:hint="eastAsia" w:ascii="宋体" w:hAnsi="宋体" w:cs="宋体"/>
          <w:color w:val="000000"/>
          <w:sz w:val="24"/>
          <w:szCs w:val="24"/>
          <w:highlight w:val="none"/>
        </w:rPr>
      </w:pPr>
    </w:p>
    <w:p>
      <w:pPr>
        <w:widowControl/>
        <w:snapToGrid w:val="0"/>
        <w:spacing w:line="360" w:lineRule="auto"/>
        <w:ind w:firstLine="435"/>
        <w:jc w:val="left"/>
        <w:rPr>
          <w:rFonts w:hint="eastAsia" w:ascii="宋体" w:hAnsi="宋体" w:cs="宋体"/>
          <w:color w:val="000000"/>
          <w:sz w:val="24"/>
          <w:szCs w:val="24"/>
          <w:highlight w:val="none"/>
        </w:rPr>
      </w:pPr>
    </w:p>
    <w:p>
      <w:pPr>
        <w:widowControl/>
        <w:snapToGrid w:val="0"/>
        <w:spacing w:line="360" w:lineRule="auto"/>
        <w:ind w:firstLine="435"/>
        <w:jc w:val="left"/>
        <w:rPr>
          <w:rFonts w:hint="eastAsia" w:eastAsia="宋体"/>
          <w:highlight w:val="none"/>
          <w:lang w:eastAsia="zh-CN"/>
        </w:rPr>
      </w:pPr>
      <w:r>
        <w:rPr>
          <w:highlight w:val="none"/>
        </w:rPr>
        <w:drawing>
          <wp:inline distT="0" distB="0" distL="114300" distR="114300">
            <wp:extent cx="6467475" cy="3810635"/>
            <wp:effectExtent l="0" t="0" r="9525" b="1841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8"/>
                    <a:stretch>
                      <a:fillRect/>
                    </a:stretch>
                  </pic:blipFill>
                  <pic:spPr>
                    <a:xfrm>
                      <a:off x="0" y="0"/>
                      <a:ext cx="6467475" cy="3810635"/>
                    </a:xfrm>
                    <a:prstGeom prst="rect">
                      <a:avLst/>
                    </a:prstGeom>
                    <a:noFill/>
                    <a:ln>
                      <a:noFill/>
                    </a:ln>
                  </pic:spPr>
                </pic:pic>
              </a:graphicData>
            </a:graphic>
          </wp:inline>
        </w:drawing>
      </w:r>
      <w:r>
        <w:rPr>
          <w:rFonts w:hint="eastAsia" w:eastAsia="宋体"/>
          <w:highlight w:val="none"/>
          <w:lang w:eastAsia="zh-CN"/>
        </w:rPr>
        <w:drawing>
          <wp:inline distT="0" distB="0" distL="114300" distR="114300">
            <wp:extent cx="6445250" cy="4834255"/>
            <wp:effectExtent l="0" t="0" r="12700" b="4445"/>
            <wp:docPr id="1" name="图片 1" descr="9c031cbd3fc079156090ec6a62415b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9c031cbd3fc079156090ec6a62415bba"/>
                    <pic:cNvPicPr>
                      <a:picLocks noChangeAspect="1"/>
                    </pic:cNvPicPr>
                  </pic:nvPicPr>
                  <pic:blipFill>
                    <a:blip r:embed="rId9"/>
                    <a:stretch>
                      <a:fillRect/>
                    </a:stretch>
                  </pic:blipFill>
                  <pic:spPr>
                    <a:xfrm>
                      <a:off x="0" y="0"/>
                      <a:ext cx="6445250" cy="4834255"/>
                    </a:xfrm>
                    <a:prstGeom prst="rect">
                      <a:avLst/>
                    </a:prstGeom>
                  </pic:spPr>
                </pic:pic>
              </a:graphicData>
            </a:graphic>
          </wp:inline>
        </w:drawing>
      </w:r>
    </w:p>
    <w:p>
      <w:pPr>
        <w:widowControl/>
        <w:snapToGrid w:val="0"/>
        <w:spacing w:line="360" w:lineRule="auto"/>
        <w:ind w:firstLine="435"/>
        <w:jc w:val="left"/>
        <w:rPr>
          <w:rFonts w:hint="eastAsia" w:eastAsia="宋体"/>
          <w:highlight w:val="none"/>
          <w:lang w:eastAsia="zh-CN"/>
        </w:rPr>
      </w:pPr>
      <w:r>
        <w:rPr>
          <w:rFonts w:hint="eastAsia" w:eastAsia="宋体"/>
          <w:highlight w:val="none"/>
          <w:lang w:eastAsia="zh-CN"/>
        </w:rPr>
        <w:drawing>
          <wp:inline distT="0" distB="0" distL="114300" distR="114300">
            <wp:extent cx="6478270" cy="3891915"/>
            <wp:effectExtent l="0" t="0" r="17780" b="13335"/>
            <wp:docPr id="6" name="图片 6" descr="学生竞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学生竞赛"/>
                    <pic:cNvPicPr>
                      <a:picLocks noChangeAspect="1"/>
                    </pic:cNvPicPr>
                  </pic:nvPicPr>
                  <pic:blipFill>
                    <a:blip r:embed="rId10"/>
                    <a:stretch>
                      <a:fillRect/>
                    </a:stretch>
                  </pic:blipFill>
                  <pic:spPr>
                    <a:xfrm>
                      <a:off x="0" y="0"/>
                      <a:ext cx="6478270" cy="3891915"/>
                    </a:xfrm>
                    <a:prstGeom prst="rect">
                      <a:avLst/>
                    </a:prstGeom>
                  </pic:spPr>
                </pic:pic>
              </a:graphicData>
            </a:graphic>
          </wp:inline>
        </w:drawing>
      </w:r>
    </w:p>
    <w:p>
      <w:pPr>
        <w:widowControl/>
        <w:snapToGrid w:val="0"/>
        <w:spacing w:line="360" w:lineRule="auto"/>
        <w:ind w:firstLine="435"/>
        <w:jc w:val="left"/>
        <w:rPr>
          <w:rFonts w:hint="eastAsia" w:ascii="微软雅黑" w:hAnsi="微软雅黑" w:eastAsia="微软雅黑"/>
          <w:b/>
          <w:bCs/>
          <w:sz w:val="28"/>
          <w:szCs w:val="28"/>
          <w:highlight w:val="none"/>
        </w:rPr>
      </w:pPr>
      <w:r>
        <w:rPr>
          <w:highlight w:val="none"/>
        </w:rPr>
        <w:drawing>
          <wp:inline distT="0" distB="0" distL="0" distR="0">
            <wp:extent cx="6479540" cy="433197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1"/>
                    <a:stretch>
                      <a:fillRect/>
                    </a:stretch>
                  </pic:blipFill>
                  <pic:spPr>
                    <a:xfrm>
                      <a:off x="0" y="0"/>
                      <a:ext cx="6479540" cy="4331970"/>
                    </a:xfrm>
                    <a:prstGeom prst="rect">
                      <a:avLst/>
                    </a:prstGeom>
                  </pic:spPr>
                </pic:pic>
              </a:graphicData>
            </a:graphic>
          </wp:inline>
        </w:drawing>
      </w:r>
    </w:p>
    <w:p>
      <w:pPr>
        <w:spacing w:before="468" w:beforeLines="150" w:after="156" w:afterLines="50"/>
        <w:rPr>
          <w:rFonts w:hint="eastAsia" w:ascii="微软雅黑" w:hAnsi="微软雅黑" w:eastAsia="微软雅黑"/>
          <w:b/>
          <w:bCs/>
          <w:sz w:val="28"/>
          <w:szCs w:val="28"/>
          <w:highlight w:val="none"/>
        </w:rPr>
      </w:pPr>
      <w:r>
        <w:rPr>
          <w:rFonts w:hint="eastAsia" w:ascii="微软雅黑" w:hAnsi="微软雅黑" w:eastAsia="微软雅黑"/>
          <w:b/>
          <w:bCs/>
          <w:sz w:val="28"/>
          <w:szCs w:val="28"/>
          <w:highlight w:val="none"/>
        </w:rPr>
        <w:t>就业发展</w:t>
      </w:r>
    </w:p>
    <w:p>
      <w:pPr>
        <w:widowControl/>
        <w:snapToGrid w:val="0"/>
        <w:spacing w:line="360" w:lineRule="auto"/>
        <w:ind w:firstLine="435"/>
        <w:jc w:val="left"/>
        <w:rPr>
          <w:rFonts w:hint="eastAsia" w:ascii="宋体" w:hAnsi="宋体" w:eastAsia="宋体" w:cs="宋体"/>
          <w:color w:val="000000" w:themeColor="text1"/>
          <w:sz w:val="24"/>
          <w:szCs w:val="24"/>
          <w:highlight w:val="none"/>
          <w:lang w:eastAsia="zh-CN"/>
          <w14:textFill>
            <w14:solidFill>
              <w14:schemeClr w14:val="tx1"/>
            </w14:solidFill>
          </w14:textFill>
        </w:rPr>
      </w:pPr>
      <w:r>
        <w:rPr>
          <w:rFonts w:hint="eastAsia" w:ascii="宋体" w:hAnsi="宋体" w:cs="宋体"/>
          <w:color w:val="000000"/>
          <w:sz w:val="24"/>
          <w:szCs w:val="24"/>
          <w:highlight w:val="none"/>
        </w:rPr>
        <w:t>微电子科学与工程专业侧重微纳器件与超大规模集成电路制造工艺；集成电路设计与集成系统专业</w:t>
      </w:r>
      <w:r>
        <w:rPr>
          <w:rFonts w:ascii="宋体" w:hAnsi="宋体" w:cs="宋体"/>
          <w:color w:val="000000"/>
          <w:sz w:val="24"/>
          <w:szCs w:val="24"/>
          <w:highlight w:val="none"/>
        </w:rPr>
        <w:t>侧重</w:t>
      </w:r>
      <w:r>
        <w:rPr>
          <w:rFonts w:hint="eastAsia" w:ascii="宋体" w:hAnsi="宋体" w:cs="宋体"/>
          <w:color w:val="000000"/>
          <w:sz w:val="24"/>
          <w:szCs w:val="24"/>
          <w:highlight w:val="none"/>
        </w:rPr>
        <w:t>集成电路设计与系统集成。学生毕业后均可从事以超大规模集成电路设计及制造工艺为核心的工作，备受华为、中兴、大疆等企业青睐，也可以继续深造，</w:t>
      </w:r>
      <w:r>
        <w:rPr>
          <w:rFonts w:hint="eastAsia" w:ascii="宋体" w:hAnsi="宋体" w:cs="宋体"/>
          <w:color w:val="000000"/>
          <w:sz w:val="24"/>
          <w:szCs w:val="24"/>
          <w:highlight w:val="none"/>
        </w:rPr>
        <w:t>攻读电子科学与技术、集成电路科学与工程、电子信息等</w:t>
      </w:r>
      <w:r>
        <w:rPr>
          <w:rFonts w:hint="eastAsia" w:ascii="宋体" w:hAnsi="宋体" w:cs="宋体"/>
          <w:color w:val="000000"/>
          <w:sz w:val="24"/>
          <w:szCs w:val="24"/>
          <w:highlight w:val="none"/>
        </w:rPr>
        <w:t>相关学科的研究生。</w:t>
      </w:r>
      <w:r>
        <w:rPr>
          <w:rFonts w:hint="eastAsia" w:ascii="宋体" w:hAnsi="宋体" w:cs="宋体"/>
          <w:color w:val="000000" w:themeColor="text1"/>
          <w:sz w:val="24"/>
          <w:szCs w:val="24"/>
          <w:highlight w:val="none"/>
          <w14:textFill>
            <w14:solidFill>
              <w14:schemeClr w14:val="tx1"/>
            </w14:solidFill>
          </w14:textFill>
        </w:rPr>
        <w:t>毕业生供不应求</w:t>
      </w:r>
      <w:r>
        <w:rPr>
          <w:rFonts w:ascii="宋体" w:hAnsi="宋体" w:cs="宋体"/>
          <w:color w:val="000000" w:themeColor="text1"/>
          <w:sz w:val="24"/>
          <w:szCs w:val="24"/>
          <w:highlight w:val="none"/>
          <w14:textFill>
            <w14:solidFill>
              <w14:schemeClr w14:val="tx1"/>
            </w14:solidFill>
          </w14:textFill>
        </w:rPr>
        <w:t>，就业率</w:t>
      </w:r>
      <w:r>
        <w:rPr>
          <w:rFonts w:hint="eastAsia" w:ascii="宋体" w:hAnsi="宋体" w:cs="宋体"/>
          <w:color w:val="000000" w:themeColor="text1"/>
          <w:sz w:val="24"/>
          <w:szCs w:val="24"/>
          <w:highlight w:val="none"/>
          <w14:textFill>
            <w14:solidFill>
              <w14:schemeClr w14:val="tx1"/>
            </w14:solidFill>
          </w14:textFill>
        </w:rPr>
        <w:t>100</w:t>
      </w:r>
      <w:r>
        <w:rPr>
          <w:rFonts w:ascii="宋体" w:hAnsi="宋体" w:cs="宋体"/>
          <w:color w:val="000000" w:themeColor="text1"/>
          <w:sz w:val="24"/>
          <w:szCs w:val="24"/>
          <w:highlight w:val="none"/>
          <w14:textFill>
            <w14:solidFill>
              <w14:schemeClr w14:val="tx1"/>
            </w14:solidFill>
          </w14:textFill>
        </w:rPr>
        <w:t>%</w:t>
      </w:r>
      <w:r>
        <w:rPr>
          <w:rFonts w:hint="eastAsia" w:ascii="宋体" w:hAnsi="宋体" w:cs="宋体"/>
          <w:color w:val="000000" w:themeColor="text1"/>
          <w:sz w:val="24"/>
          <w:szCs w:val="24"/>
          <w:highlight w:val="none"/>
          <w14:textFill>
            <w14:solidFill>
              <w14:schemeClr w14:val="tx1"/>
            </w14:solidFill>
          </w14:textFill>
        </w:rPr>
        <w:t>，超</w:t>
      </w:r>
      <w:r>
        <w:rPr>
          <w:rFonts w:hint="eastAsia" w:ascii="宋体" w:hAnsi="宋体" w:cs="宋体"/>
          <w:color w:val="000000" w:themeColor="text1"/>
          <w:sz w:val="24"/>
          <w:szCs w:val="24"/>
          <w:highlight w:val="none"/>
          <w:lang w:val="en-US" w:eastAsia="zh-CN"/>
          <w14:textFill>
            <w14:solidFill>
              <w14:schemeClr w14:val="tx1"/>
            </w14:solidFill>
          </w14:textFill>
        </w:rPr>
        <w:t>80</w:t>
      </w:r>
      <w:r>
        <w:rPr>
          <w:rFonts w:hint="eastAsia" w:ascii="宋体" w:hAnsi="宋体" w:cs="宋体"/>
          <w:color w:val="000000" w:themeColor="text1"/>
          <w:sz w:val="24"/>
          <w:szCs w:val="24"/>
          <w:highlight w:val="none"/>
          <w14:textFill>
            <w14:solidFill>
              <w14:schemeClr w14:val="tx1"/>
            </w14:solidFill>
          </w14:textFill>
        </w:rPr>
        <w:t>%</w:t>
      </w:r>
      <w:r>
        <w:rPr>
          <w:rFonts w:hint="eastAsia" w:ascii="宋体" w:hAnsi="宋体" w:cs="宋体"/>
          <w:color w:val="000000" w:themeColor="text1"/>
          <w:sz w:val="24"/>
          <w:szCs w:val="24"/>
          <w:highlight w:val="none"/>
          <w14:textFill>
            <w14:solidFill>
              <w14:schemeClr w14:val="tx1"/>
            </w14:solidFill>
          </w14:textFill>
        </w:rPr>
        <w:t>的毕业生继续深造</w:t>
      </w:r>
      <w:r>
        <w:rPr>
          <w:rFonts w:hint="eastAsia" w:ascii="宋体" w:hAnsi="宋体" w:cs="宋体"/>
          <w:color w:val="000000" w:themeColor="text1"/>
          <w:sz w:val="24"/>
          <w:szCs w:val="24"/>
          <w:highlight w:val="none"/>
          <w:lang w:eastAsia="zh-CN"/>
          <w14:textFill>
            <w14:solidFill>
              <w14:schemeClr w14:val="tx1"/>
            </w14:solidFill>
          </w14:textFill>
        </w:rPr>
        <w:t>。</w:t>
      </w:r>
    </w:p>
    <w:p>
      <w:pPr>
        <w:widowControl/>
        <w:snapToGrid w:val="0"/>
        <w:spacing w:line="360" w:lineRule="auto"/>
        <w:ind w:firstLine="435"/>
        <w:jc w:val="right"/>
        <w:rPr>
          <w:rFonts w:hint="eastAsia" w:ascii="宋体" w:hAnsi="宋体" w:cs="宋体"/>
          <w:color w:val="000000" w:themeColor="text1"/>
          <w:sz w:val="24"/>
          <w:szCs w:val="24"/>
          <w:highlight w:val="none"/>
          <w14:textFill>
            <w14:solidFill>
              <w14:schemeClr w14:val="tx1"/>
            </w14:solidFill>
          </w14:textFill>
        </w:rPr>
      </w:pPr>
    </w:p>
    <w:sectPr>
      <w:pgSz w:w="11906" w:h="16838"/>
      <w:pgMar w:top="851" w:right="851" w:bottom="851" w:left="851"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oNotDisplayPageBoundaries w:val="1"/>
  <w:bordersDoNotSurroundHeader w:val="1"/>
  <w:bordersDoNotSurroundFooter w:val="1"/>
  <w:documentProtection w:enforcement="0"/>
  <w:defaultTabStop w:val="420"/>
  <w:drawingGridVerticalSpacing w:val="156"/>
  <w:noPunctuationKerning w:val="1"/>
  <w:characterSpacingControl w:val="compressPunctuation"/>
  <w:doNotValidateAgainstSchema/>
  <w:doNotDemarcateInvalidXml/>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GUyNDMzMTIyN2FlMjdhNWJjZTNhZmQxYjZlZmM2ZmYifQ=="/>
  </w:docVars>
  <w:rsids>
    <w:rsidRoot w:val="00172A27"/>
    <w:rsid w:val="00022222"/>
    <w:rsid w:val="00027938"/>
    <w:rsid w:val="00063576"/>
    <w:rsid w:val="000708BE"/>
    <w:rsid w:val="00073D69"/>
    <w:rsid w:val="00076EB9"/>
    <w:rsid w:val="00084C1D"/>
    <w:rsid w:val="00084D84"/>
    <w:rsid w:val="00084DC6"/>
    <w:rsid w:val="000A37EA"/>
    <w:rsid w:val="000C2057"/>
    <w:rsid w:val="000C365F"/>
    <w:rsid w:val="000C6F6F"/>
    <w:rsid w:val="000D3EB4"/>
    <w:rsid w:val="000E6798"/>
    <w:rsid w:val="001361B9"/>
    <w:rsid w:val="00141115"/>
    <w:rsid w:val="001556A8"/>
    <w:rsid w:val="00161936"/>
    <w:rsid w:val="001653AA"/>
    <w:rsid w:val="00172A27"/>
    <w:rsid w:val="001A7325"/>
    <w:rsid w:val="001B3024"/>
    <w:rsid w:val="001B4DE8"/>
    <w:rsid w:val="0020445C"/>
    <w:rsid w:val="00220FD6"/>
    <w:rsid w:val="0023228D"/>
    <w:rsid w:val="00234F79"/>
    <w:rsid w:val="00276B14"/>
    <w:rsid w:val="00283C0F"/>
    <w:rsid w:val="002855D5"/>
    <w:rsid w:val="0029387A"/>
    <w:rsid w:val="002A6ABE"/>
    <w:rsid w:val="002B1D4F"/>
    <w:rsid w:val="002B30B9"/>
    <w:rsid w:val="002F1386"/>
    <w:rsid w:val="002F44E2"/>
    <w:rsid w:val="00300363"/>
    <w:rsid w:val="00301773"/>
    <w:rsid w:val="0031249E"/>
    <w:rsid w:val="003133D5"/>
    <w:rsid w:val="0032028B"/>
    <w:rsid w:val="00342375"/>
    <w:rsid w:val="00354CA2"/>
    <w:rsid w:val="00376471"/>
    <w:rsid w:val="0038585E"/>
    <w:rsid w:val="003A3D6C"/>
    <w:rsid w:val="003A6CFE"/>
    <w:rsid w:val="003A7BED"/>
    <w:rsid w:val="003B4011"/>
    <w:rsid w:val="003B43BD"/>
    <w:rsid w:val="003B6996"/>
    <w:rsid w:val="003D2154"/>
    <w:rsid w:val="003D3C7F"/>
    <w:rsid w:val="003D6E0D"/>
    <w:rsid w:val="003E6065"/>
    <w:rsid w:val="003F63F5"/>
    <w:rsid w:val="00440D59"/>
    <w:rsid w:val="0045186D"/>
    <w:rsid w:val="004573E8"/>
    <w:rsid w:val="00466B0A"/>
    <w:rsid w:val="00467D51"/>
    <w:rsid w:val="0047203E"/>
    <w:rsid w:val="004829EF"/>
    <w:rsid w:val="00495619"/>
    <w:rsid w:val="00496778"/>
    <w:rsid w:val="004A091A"/>
    <w:rsid w:val="004A778C"/>
    <w:rsid w:val="004B5C3A"/>
    <w:rsid w:val="004C2FE2"/>
    <w:rsid w:val="004F1BDE"/>
    <w:rsid w:val="004F560B"/>
    <w:rsid w:val="004F60F5"/>
    <w:rsid w:val="00530468"/>
    <w:rsid w:val="005328A0"/>
    <w:rsid w:val="00544A81"/>
    <w:rsid w:val="0054752E"/>
    <w:rsid w:val="0056443E"/>
    <w:rsid w:val="00566F4E"/>
    <w:rsid w:val="00576742"/>
    <w:rsid w:val="0058000E"/>
    <w:rsid w:val="005A7C8F"/>
    <w:rsid w:val="005B15DF"/>
    <w:rsid w:val="005B4C79"/>
    <w:rsid w:val="005C0FA5"/>
    <w:rsid w:val="00600BEA"/>
    <w:rsid w:val="00622221"/>
    <w:rsid w:val="00634979"/>
    <w:rsid w:val="00636A98"/>
    <w:rsid w:val="00637B4D"/>
    <w:rsid w:val="0064403E"/>
    <w:rsid w:val="006479D8"/>
    <w:rsid w:val="006737D3"/>
    <w:rsid w:val="00684159"/>
    <w:rsid w:val="00691929"/>
    <w:rsid w:val="006A7719"/>
    <w:rsid w:val="006B7161"/>
    <w:rsid w:val="006B7E1B"/>
    <w:rsid w:val="006C31CB"/>
    <w:rsid w:val="006D59BA"/>
    <w:rsid w:val="007009DF"/>
    <w:rsid w:val="007076B7"/>
    <w:rsid w:val="00711F4C"/>
    <w:rsid w:val="007200BB"/>
    <w:rsid w:val="00720B7A"/>
    <w:rsid w:val="00721677"/>
    <w:rsid w:val="00724548"/>
    <w:rsid w:val="00736A88"/>
    <w:rsid w:val="007625B6"/>
    <w:rsid w:val="0077467D"/>
    <w:rsid w:val="00781DF8"/>
    <w:rsid w:val="00782A67"/>
    <w:rsid w:val="007932AD"/>
    <w:rsid w:val="007A1EF0"/>
    <w:rsid w:val="007A30FA"/>
    <w:rsid w:val="007A652B"/>
    <w:rsid w:val="007E61AD"/>
    <w:rsid w:val="007F2F2B"/>
    <w:rsid w:val="007F5921"/>
    <w:rsid w:val="008035A9"/>
    <w:rsid w:val="0081040C"/>
    <w:rsid w:val="008203E0"/>
    <w:rsid w:val="00830FFC"/>
    <w:rsid w:val="00841F79"/>
    <w:rsid w:val="00842542"/>
    <w:rsid w:val="008500CF"/>
    <w:rsid w:val="00851DB6"/>
    <w:rsid w:val="008522C8"/>
    <w:rsid w:val="008546E2"/>
    <w:rsid w:val="008978F2"/>
    <w:rsid w:val="008B1F34"/>
    <w:rsid w:val="008B74BF"/>
    <w:rsid w:val="008D6C35"/>
    <w:rsid w:val="008E53D7"/>
    <w:rsid w:val="008F215C"/>
    <w:rsid w:val="008F4080"/>
    <w:rsid w:val="008F4569"/>
    <w:rsid w:val="008F7539"/>
    <w:rsid w:val="00917FB2"/>
    <w:rsid w:val="00922221"/>
    <w:rsid w:val="00925D3B"/>
    <w:rsid w:val="00926798"/>
    <w:rsid w:val="00933BA6"/>
    <w:rsid w:val="00934B31"/>
    <w:rsid w:val="00955C20"/>
    <w:rsid w:val="00971D2E"/>
    <w:rsid w:val="0098650A"/>
    <w:rsid w:val="00993DAE"/>
    <w:rsid w:val="00997057"/>
    <w:rsid w:val="009A3B57"/>
    <w:rsid w:val="009A4953"/>
    <w:rsid w:val="009C1AE3"/>
    <w:rsid w:val="009C6A96"/>
    <w:rsid w:val="009F2CA0"/>
    <w:rsid w:val="00A01424"/>
    <w:rsid w:val="00A02386"/>
    <w:rsid w:val="00A043C5"/>
    <w:rsid w:val="00A05735"/>
    <w:rsid w:val="00A34340"/>
    <w:rsid w:val="00A422B9"/>
    <w:rsid w:val="00A47F09"/>
    <w:rsid w:val="00A60D32"/>
    <w:rsid w:val="00A656F7"/>
    <w:rsid w:val="00A80B22"/>
    <w:rsid w:val="00AA4203"/>
    <w:rsid w:val="00AA542C"/>
    <w:rsid w:val="00AA7C5A"/>
    <w:rsid w:val="00AB2496"/>
    <w:rsid w:val="00AB753D"/>
    <w:rsid w:val="00AC6457"/>
    <w:rsid w:val="00B002E6"/>
    <w:rsid w:val="00B05E50"/>
    <w:rsid w:val="00B21317"/>
    <w:rsid w:val="00B34BDD"/>
    <w:rsid w:val="00B36772"/>
    <w:rsid w:val="00B63A71"/>
    <w:rsid w:val="00B640AA"/>
    <w:rsid w:val="00B7161A"/>
    <w:rsid w:val="00B731B3"/>
    <w:rsid w:val="00B80F59"/>
    <w:rsid w:val="00B94494"/>
    <w:rsid w:val="00B96B9E"/>
    <w:rsid w:val="00BB6427"/>
    <w:rsid w:val="00BD75E6"/>
    <w:rsid w:val="00BE11F8"/>
    <w:rsid w:val="00BE2846"/>
    <w:rsid w:val="00BE5F04"/>
    <w:rsid w:val="00BF4FB5"/>
    <w:rsid w:val="00C33172"/>
    <w:rsid w:val="00C63284"/>
    <w:rsid w:val="00C71889"/>
    <w:rsid w:val="00C8597B"/>
    <w:rsid w:val="00C8694B"/>
    <w:rsid w:val="00CA0167"/>
    <w:rsid w:val="00CA3979"/>
    <w:rsid w:val="00CB2FC6"/>
    <w:rsid w:val="00CB403F"/>
    <w:rsid w:val="00CE39B0"/>
    <w:rsid w:val="00D0139D"/>
    <w:rsid w:val="00D061E0"/>
    <w:rsid w:val="00D14900"/>
    <w:rsid w:val="00D15243"/>
    <w:rsid w:val="00D20C9C"/>
    <w:rsid w:val="00D26412"/>
    <w:rsid w:val="00D761AA"/>
    <w:rsid w:val="00D860A0"/>
    <w:rsid w:val="00DB05FD"/>
    <w:rsid w:val="00DB28FA"/>
    <w:rsid w:val="00DF39E3"/>
    <w:rsid w:val="00E0269E"/>
    <w:rsid w:val="00E157D1"/>
    <w:rsid w:val="00E32DEB"/>
    <w:rsid w:val="00E4260E"/>
    <w:rsid w:val="00E51BED"/>
    <w:rsid w:val="00E634CB"/>
    <w:rsid w:val="00E6679E"/>
    <w:rsid w:val="00E7309B"/>
    <w:rsid w:val="00E8109D"/>
    <w:rsid w:val="00E85E1B"/>
    <w:rsid w:val="00ED02C9"/>
    <w:rsid w:val="00EF258D"/>
    <w:rsid w:val="00F14BF8"/>
    <w:rsid w:val="00F23CA9"/>
    <w:rsid w:val="00F342C1"/>
    <w:rsid w:val="00F423FB"/>
    <w:rsid w:val="00F665F9"/>
    <w:rsid w:val="00F81653"/>
    <w:rsid w:val="00F90D63"/>
    <w:rsid w:val="00F961AD"/>
    <w:rsid w:val="00FA6D2A"/>
    <w:rsid w:val="00FB42FB"/>
    <w:rsid w:val="00FC6137"/>
    <w:rsid w:val="00FD0BD7"/>
    <w:rsid w:val="00FE4758"/>
    <w:rsid w:val="02143905"/>
    <w:rsid w:val="02D701F3"/>
    <w:rsid w:val="05B06178"/>
    <w:rsid w:val="07E00832"/>
    <w:rsid w:val="0BFB6305"/>
    <w:rsid w:val="0DFD704A"/>
    <w:rsid w:val="10FC6151"/>
    <w:rsid w:val="13426795"/>
    <w:rsid w:val="164F43BD"/>
    <w:rsid w:val="17EA3713"/>
    <w:rsid w:val="18835FF7"/>
    <w:rsid w:val="1B7065B5"/>
    <w:rsid w:val="1C684C54"/>
    <w:rsid w:val="1F8559B4"/>
    <w:rsid w:val="220559A6"/>
    <w:rsid w:val="227D3E5E"/>
    <w:rsid w:val="25DD7280"/>
    <w:rsid w:val="27DC0577"/>
    <w:rsid w:val="29315079"/>
    <w:rsid w:val="2B873593"/>
    <w:rsid w:val="2BC22EBA"/>
    <w:rsid w:val="2BEF61FE"/>
    <w:rsid w:val="2FBF2445"/>
    <w:rsid w:val="32D15859"/>
    <w:rsid w:val="34181F88"/>
    <w:rsid w:val="3D681EE3"/>
    <w:rsid w:val="3D830315"/>
    <w:rsid w:val="3FFF3DFA"/>
    <w:rsid w:val="40885A14"/>
    <w:rsid w:val="4607333F"/>
    <w:rsid w:val="498E25BB"/>
    <w:rsid w:val="4FBE7261"/>
    <w:rsid w:val="517676FA"/>
    <w:rsid w:val="52A64176"/>
    <w:rsid w:val="534E0F6F"/>
    <w:rsid w:val="54663C70"/>
    <w:rsid w:val="57CA7AE2"/>
    <w:rsid w:val="61FB4760"/>
    <w:rsid w:val="65FD4DF6"/>
    <w:rsid w:val="69BB0B9C"/>
    <w:rsid w:val="6B5D2AEC"/>
    <w:rsid w:val="6CFD1353"/>
    <w:rsid w:val="6EBA508C"/>
    <w:rsid w:val="721C705A"/>
    <w:rsid w:val="73CB7EB8"/>
    <w:rsid w:val="785C138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nhideWhenUsed="0" w:uiPriority="0" w:semiHidden="0" w:name="header"/>
    <w:lsdException w:qFormat="1" w:unhideWhenUsed="0"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78" w:lineRule="auto"/>
      <w:jc w:val="both"/>
    </w:pPr>
    <w:rPr>
      <w:rFonts w:ascii="Calibri" w:hAnsi="Calibri" w:eastAsia="宋体" w:cs="Times New Roman"/>
      <w:kern w:val="2"/>
      <w:sz w:val="21"/>
      <w:szCs w:val="22"/>
      <w:lang w:val="en-US" w:eastAsia="zh-CN" w:bidi="ar-SA"/>
    </w:rPr>
  </w:style>
  <w:style w:type="character" w:default="1" w:styleId="8">
    <w:name w:val="Default Paragraph Font"/>
    <w:semiHidden/>
    <w:unhideWhenUsed/>
    <w:qFormat/>
    <w:uiPriority w:val="1"/>
  </w:style>
  <w:style w:type="table" w:default="1" w:styleId="6">
    <w:name w:val="Normal Table"/>
    <w:semiHidden/>
    <w:unhideWhenUsed/>
    <w:uiPriority w:val="99"/>
    <w:tblPr>
      <w:tblLayout w:type="fixed"/>
      <w:tblCellMar>
        <w:top w:w="0" w:type="dxa"/>
        <w:left w:w="108" w:type="dxa"/>
        <w:bottom w:w="0" w:type="dxa"/>
        <w:right w:w="108" w:type="dxa"/>
      </w:tblCellMar>
    </w:tblPr>
  </w:style>
  <w:style w:type="paragraph" w:styleId="2">
    <w:name w:val="Balloon Text"/>
    <w:basedOn w:val="1"/>
    <w:link w:val="12"/>
    <w:qFormat/>
    <w:uiPriority w:val="0"/>
    <w:rPr>
      <w:kern w:val="0"/>
      <w:sz w:val="18"/>
      <w:szCs w:val="18"/>
    </w:rPr>
  </w:style>
  <w:style w:type="paragraph" w:styleId="3">
    <w:name w:val="footer"/>
    <w:basedOn w:val="1"/>
    <w:link w:val="11"/>
    <w:qFormat/>
    <w:uiPriority w:val="0"/>
    <w:pPr>
      <w:tabs>
        <w:tab w:val="center" w:pos="4153"/>
        <w:tab w:val="right" w:pos="8306"/>
      </w:tabs>
      <w:snapToGrid w:val="0"/>
      <w:jc w:val="left"/>
    </w:pPr>
    <w:rPr>
      <w:kern w:val="0"/>
      <w:sz w:val="18"/>
      <w:szCs w:val="18"/>
    </w:rPr>
  </w:style>
  <w:style w:type="paragraph" w:styleId="4">
    <w:name w:val="header"/>
    <w:basedOn w:val="1"/>
    <w:link w:val="10"/>
    <w:qFormat/>
    <w:uiPriority w:val="0"/>
    <w:pPr>
      <w:pBdr>
        <w:bottom w:val="single" w:color="auto" w:sz="6" w:space="1"/>
      </w:pBdr>
      <w:tabs>
        <w:tab w:val="center" w:pos="4153"/>
        <w:tab w:val="right" w:pos="8306"/>
      </w:tabs>
      <w:snapToGrid w:val="0"/>
      <w:jc w:val="center"/>
    </w:pPr>
    <w:rPr>
      <w:kern w:val="0"/>
      <w:sz w:val="18"/>
      <w:szCs w:val="18"/>
    </w:rPr>
  </w:style>
  <w:style w:type="paragraph" w:styleId="5">
    <w:name w:val="Normal (Web)"/>
    <w:basedOn w:val="1"/>
    <w:qFormat/>
    <w:uiPriority w:val="0"/>
    <w:pPr>
      <w:widowControl/>
      <w:spacing w:before="100" w:beforeAutospacing="1" w:after="100" w:afterAutospacing="1"/>
      <w:jc w:val="left"/>
    </w:pPr>
    <w:rPr>
      <w:rFonts w:ascii="宋体" w:hAnsi="宋体" w:cs="宋体"/>
      <w:kern w:val="0"/>
      <w:sz w:val="24"/>
      <w:szCs w:val="24"/>
    </w:rPr>
  </w:style>
  <w:style w:type="table" w:styleId="7">
    <w:name w:val="Table Grid"/>
    <w:basedOn w:val="6"/>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styleId="9">
    <w:name w:val="Hyperlink"/>
    <w:unhideWhenUsed/>
    <w:qFormat/>
    <w:uiPriority w:val="99"/>
    <w:rPr>
      <w:color w:val="0000FF"/>
      <w:u w:val="single"/>
    </w:rPr>
  </w:style>
  <w:style w:type="character" w:customStyle="1" w:styleId="10">
    <w:name w:val="页眉 字符"/>
    <w:link w:val="4"/>
    <w:qFormat/>
    <w:uiPriority w:val="0"/>
    <w:rPr>
      <w:sz w:val="18"/>
      <w:szCs w:val="18"/>
    </w:rPr>
  </w:style>
  <w:style w:type="character" w:customStyle="1" w:styleId="11">
    <w:name w:val="页脚 字符"/>
    <w:link w:val="3"/>
    <w:qFormat/>
    <w:uiPriority w:val="0"/>
    <w:rPr>
      <w:sz w:val="18"/>
      <w:szCs w:val="18"/>
    </w:rPr>
  </w:style>
  <w:style w:type="character" w:customStyle="1" w:styleId="12">
    <w:name w:val="批注框文本 字符"/>
    <w:link w:val="2"/>
    <w:qFormat/>
    <w:uiPriority w:val="0"/>
    <w:rPr>
      <w:sz w:val="18"/>
      <w:szCs w:val="18"/>
    </w:rPr>
  </w:style>
  <w:style w:type="paragraph" w:customStyle="1" w:styleId="13">
    <w:name w:val="列出段落1"/>
    <w:basedOn w:val="1"/>
    <w:qFormat/>
    <w:uiPriority w:val="0"/>
    <w:pPr>
      <w:widowControl/>
      <w:ind w:firstLine="420" w:firstLineChars="200"/>
      <w:jc w:val="left"/>
    </w:pPr>
    <w:rPr>
      <w:rFonts w:ascii="宋体" w:hAnsi="宋体" w:cs="宋体"/>
      <w:kern w:val="0"/>
      <w:sz w:val="24"/>
      <w:szCs w:val="24"/>
    </w:rPr>
  </w:style>
  <w:style w:type="character" w:customStyle="1" w:styleId="14">
    <w:name w:val="apple-style-span"/>
    <w:qFormat/>
    <w:uiPriority w:val="0"/>
  </w:style>
  <w:style w:type="paragraph" w:styleId="15">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jpe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customXml" Target="../customXml/item1.xml"/><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8</Pages>
  <Words>973</Words>
  <Characters>1179</Characters>
  <Lines>196</Lines>
  <Paragraphs>215</Paragraphs>
  <TotalTime>46</TotalTime>
  <ScaleCrop>false</ScaleCrop>
  <LinksUpToDate>false</LinksUpToDate>
  <CharactersWithSpaces>1937</CharactersWithSpaces>
  <Application>WPS Office_11.8.2.8411_F1E327BC-269C-435d-A152-05C5408002CA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2025-04-26T14:51:00Z</dcterms:created>
  <dc:creator>pc</dc:creator>
  <cp:lastModifiedBy>scut</cp:lastModifiedBy>
  <cp:lastPrinted>2014-06-09T01:47:00Z</cp:lastPrinted>
  <dcterms:modified xsi:type="dcterms:W3CDTF">2026-07-20T08:51:54Z</dcterms:modified>
  <dc:title>2011年电子与信息学院招生简章</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2052-11.8.2.8411</vt:lpwstr>
  </property>
  <property fmtid="{D5CDD505-2E9C-101B-9397-08002B2CF9AE}" pid="3" name="ICV">
    <vt:lpwstr>56580F51CCC447988E63A309C5425770</vt:lpwstr>
  </property>
</Properties>
</file>